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sz w:val="28"/>
          <w:szCs w:val="28"/>
        </w:rPr>
      </w:pPr>
    </w:p>
    <w:p>
      <w:pPr>
        <w:spacing w:line="560" w:lineRule="exact"/>
        <w:jc w:val="center"/>
        <w:rPr>
          <w:rFonts w:ascii="仿宋_GB2312" w:hAnsi="宋体"/>
          <w:b/>
          <w:sz w:val="44"/>
          <w:szCs w:val="44"/>
        </w:rPr>
      </w:pPr>
      <w:r>
        <w:rPr>
          <w:rFonts w:hint="eastAsia" w:ascii="仿宋_GB2312" w:hAnsi="宋体"/>
          <w:b/>
          <w:sz w:val="44"/>
          <w:szCs w:val="44"/>
        </w:rPr>
        <w:t>广西壮族自治区道路运输发展中心</w:t>
      </w:r>
    </w:p>
    <w:p>
      <w:pPr>
        <w:spacing w:line="560" w:lineRule="exact"/>
        <w:jc w:val="center"/>
        <w:rPr>
          <w:rFonts w:hint="eastAsia" w:ascii="仿宋_GB2312" w:hAnsi="宋体"/>
          <w:b/>
          <w:sz w:val="44"/>
          <w:szCs w:val="44"/>
        </w:rPr>
      </w:pPr>
      <w:r>
        <w:rPr>
          <w:rFonts w:hint="eastAsia" w:ascii="仿宋_GB2312" w:hAnsi="宋体"/>
          <w:b/>
          <w:sz w:val="44"/>
          <w:szCs w:val="44"/>
        </w:rPr>
        <w:t>202</w:t>
      </w:r>
      <w:r>
        <w:rPr>
          <w:rFonts w:ascii="仿宋_GB2312" w:hAnsi="宋体"/>
          <w:b/>
          <w:sz w:val="44"/>
          <w:szCs w:val="44"/>
        </w:rPr>
        <w:t>3</w:t>
      </w:r>
      <w:r>
        <w:rPr>
          <w:rFonts w:hint="eastAsia" w:ascii="仿宋_GB2312" w:hAnsi="宋体"/>
          <w:b/>
          <w:sz w:val="44"/>
          <w:szCs w:val="44"/>
        </w:rPr>
        <w:t>年部门预算公开说明</w:t>
      </w:r>
    </w:p>
    <w:p>
      <w:pPr>
        <w:spacing w:line="560" w:lineRule="exact"/>
        <w:ind w:firstLine="560" w:firstLineChars="200"/>
        <w:rPr>
          <w:rFonts w:ascii="仿宋_GB2312" w:hAnsi="宋体"/>
          <w:sz w:val="28"/>
          <w:szCs w:val="28"/>
        </w:rPr>
      </w:pPr>
    </w:p>
    <w:p>
      <w:pPr>
        <w:pStyle w:val="2"/>
        <w:keepNext w:val="0"/>
        <w:adjustRightInd w:val="0"/>
        <w:snapToGrid w:val="0"/>
        <w:spacing w:before="0" w:after="0" w:line="560" w:lineRule="exact"/>
        <w:ind w:firstLine="640" w:firstLineChars="200"/>
        <w:jc w:val="center"/>
        <w:rPr>
          <w:rFonts w:ascii="仿宋_GB2312" w:hAnsi="宋体"/>
          <w:b w:val="0"/>
          <w:sz w:val="32"/>
          <w:szCs w:val="32"/>
        </w:rPr>
      </w:pPr>
      <w:r>
        <w:rPr>
          <w:rFonts w:hint="eastAsia" w:ascii="仿宋_GB2312" w:hAnsi="宋体"/>
          <w:b w:val="0"/>
          <w:sz w:val="32"/>
          <w:szCs w:val="32"/>
        </w:rPr>
        <w:t>目    录</w:t>
      </w:r>
    </w:p>
    <w:p>
      <w:pPr>
        <w:pStyle w:val="7"/>
        <w:adjustRightInd w:val="0"/>
        <w:snapToGrid w:val="0"/>
        <w:spacing w:line="560" w:lineRule="exact"/>
        <w:ind w:firstLine="643" w:firstLineChars="200"/>
        <w:rPr>
          <w:rFonts w:hint="eastAsia" w:ascii="仿宋_GB2312" w:hAnsi="宋体"/>
          <w:b/>
          <w:bCs/>
          <w:szCs w:val="32"/>
        </w:rPr>
      </w:pPr>
      <w:r>
        <w:rPr>
          <w:rFonts w:hint="eastAsia" w:ascii="仿宋_GB2312" w:hAnsi="宋体"/>
          <w:b/>
          <w:bCs/>
          <w:szCs w:val="32"/>
        </w:rPr>
        <w:t>第一部分：自治区</w:t>
      </w:r>
      <w:r>
        <w:rPr>
          <w:rFonts w:hint="eastAsia" w:ascii="仿宋_GB2312" w:hAnsi="宋体"/>
          <w:b/>
          <w:bCs/>
          <w:szCs w:val="32"/>
          <w:lang w:eastAsia="zh-CN"/>
        </w:rPr>
        <w:t>道路运输发展中心</w:t>
      </w:r>
      <w:r>
        <w:rPr>
          <w:rFonts w:hint="eastAsia" w:ascii="仿宋_GB2312" w:hAnsi="宋体"/>
          <w:b/>
          <w:bCs/>
          <w:szCs w:val="32"/>
        </w:rPr>
        <w:t>部门概况</w:t>
      </w:r>
      <w:bookmarkStart w:id="4" w:name="_GoBack"/>
      <w:bookmarkEnd w:id="4"/>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一、主要职能</w:t>
      </w:r>
    </w:p>
    <w:p>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二、机构设置情况</w:t>
      </w:r>
    </w:p>
    <w:p>
      <w:pPr>
        <w:pStyle w:val="7"/>
        <w:adjustRightInd w:val="0"/>
        <w:snapToGrid w:val="0"/>
        <w:spacing w:line="560" w:lineRule="exact"/>
        <w:ind w:firstLine="640" w:firstLineChars="200"/>
        <w:rPr>
          <w:rFonts w:hint="eastAsia" w:ascii="仿宋_GB2312" w:hAnsi="宋体"/>
          <w:bCs/>
          <w:szCs w:val="32"/>
        </w:rPr>
      </w:pPr>
    </w:p>
    <w:p>
      <w:pPr>
        <w:pStyle w:val="7"/>
        <w:adjustRightInd w:val="0"/>
        <w:snapToGrid w:val="0"/>
        <w:spacing w:line="560" w:lineRule="exact"/>
        <w:ind w:firstLine="643" w:firstLineChars="200"/>
        <w:rPr>
          <w:rFonts w:hint="eastAsia" w:ascii="仿宋_GB2312" w:hAnsi="宋体"/>
          <w:b/>
          <w:bCs/>
          <w:szCs w:val="32"/>
        </w:rPr>
      </w:pPr>
      <w:r>
        <w:rPr>
          <w:rFonts w:hint="eastAsia" w:ascii="仿宋_GB2312" w:hAnsi="宋体"/>
          <w:b/>
          <w:bCs/>
          <w:szCs w:val="32"/>
        </w:rPr>
        <w:t>第二部分：自治区</w:t>
      </w:r>
      <w:bookmarkStart w:id="0" w:name="_Hlk63604449"/>
      <w:r>
        <w:rPr>
          <w:rFonts w:hint="eastAsia" w:ascii="仿宋_GB2312" w:hAnsi="宋体"/>
          <w:b/>
          <w:bCs/>
          <w:szCs w:val="32"/>
          <w:lang w:eastAsia="zh-CN"/>
        </w:rPr>
        <w:t>道路运输发展中心</w:t>
      </w:r>
      <w:r>
        <w:rPr>
          <w:rFonts w:hint="eastAsia" w:ascii="仿宋_GB2312" w:hAnsi="宋体"/>
          <w:b/>
          <w:bCs/>
          <w:szCs w:val="32"/>
        </w:rPr>
        <w:t>20</w:t>
      </w:r>
      <w:r>
        <w:rPr>
          <w:rFonts w:ascii="仿宋_GB2312" w:hAnsi="宋体"/>
          <w:b/>
          <w:bCs/>
          <w:szCs w:val="32"/>
        </w:rPr>
        <w:t>23</w:t>
      </w:r>
      <w:r>
        <w:rPr>
          <w:rFonts w:hint="eastAsia" w:ascii="仿宋_GB2312" w:hAnsi="宋体"/>
          <w:b/>
          <w:bCs/>
          <w:szCs w:val="32"/>
        </w:rPr>
        <w:t>年部门预算情况说明</w:t>
      </w:r>
      <w:bookmarkEnd w:id="0"/>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一、部门收支</w:t>
      </w:r>
      <w:r>
        <w:rPr>
          <w:rFonts w:hint="eastAsia" w:ascii="仿宋_GB2312" w:hAnsi="宋体"/>
          <w:bCs/>
          <w:szCs w:val="32"/>
          <w:lang w:eastAsia="zh-CN"/>
        </w:rPr>
        <w:t>预算</w:t>
      </w:r>
      <w:r>
        <w:rPr>
          <w:rFonts w:hint="eastAsia" w:ascii="仿宋_GB2312" w:hAnsi="宋体"/>
          <w:bCs/>
          <w:szCs w:val="32"/>
        </w:rPr>
        <w:t>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二、部门收入</w:t>
      </w:r>
      <w:r>
        <w:rPr>
          <w:rFonts w:hint="eastAsia" w:ascii="仿宋_GB2312" w:hAnsi="宋体"/>
          <w:bCs/>
          <w:szCs w:val="32"/>
          <w:lang w:eastAsia="zh-CN"/>
        </w:rPr>
        <w:t>预算</w:t>
      </w:r>
      <w:r>
        <w:rPr>
          <w:rFonts w:hint="eastAsia" w:ascii="仿宋_GB2312" w:hAnsi="宋体"/>
          <w:bCs/>
          <w:szCs w:val="32"/>
        </w:rPr>
        <w:t>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三、部门支出</w:t>
      </w:r>
      <w:r>
        <w:rPr>
          <w:rFonts w:hint="eastAsia" w:ascii="仿宋_GB2312" w:hAnsi="宋体"/>
          <w:bCs/>
          <w:szCs w:val="32"/>
          <w:lang w:eastAsia="zh-CN"/>
        </w:rPr>
        <w:t>预算</w:t>
      </w:r>
      <w:r>
        <w:rPr>
          <w:rFonts w:hint="eastAsia" w:ascii="仿宋_GB2312" w:hAnsi="宋体"/>
          <w:bCs/>
          <w:szCs w:val="32"/>
        </w:rPr>
        <w:t>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四、财政拨款收支</w:t>
      </w:r>
      <w:r>
        <w:rPr>
          <w:rFonts w:hint="eastAsia" w:ascii="仿宋_GB2312" w:hAnsi="宋体"/>
          <w:bCs/>
          <w:szCs w:val="32"/>
          <w:lang w:eastAsia="zh-CN"/>
        </w:rPr>
        <w:t>预算</w:t>
      </w:r>
      <w:r>
        <w:rPr>
          <w:rFonts w:hint="eastAsia" w:ascii="仿宋_GB2312" w:hAnsi="宋体"/>
          <w:bCs/>
          <w:szCs w:val="32"/>
        </w:rPr>
        <w:t>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五、一般公共预算支出情况说明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六、一般公共预算基本支出情况说明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七、一般公共预算“三公”经费情况说明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八、政府性基金预算情况说明</w:t>
      </w:r>
    </w:p>
    <w:p>
      <w:pPr>
        <w:pStyle w:val="7"/>
        <w:adjustRightInd w:val="0"/>
        <w:snapToGrid w:val="0"/>
        <w:spacing w:line="560" w:lineRule="exact"/>
        <w:ind w:firstLine="640" w:firstLineChars="200"/>
        <w:rPr>
          <w:rFonts w:hint="eastAsia" w:ascii="仿宋_GB2312" w:hAnsi="宋体"/>
          <w:bCs/>
          <w:szCs w:val="32"/>
          <w:lang w:eastAsia="zh-CN"/>
        </w:rPr>
      </w:pPr>
      <w:r>
        <w:rPr>
          <w:rFonts w:hint="eastAsia" w:ascii="仿宋_GB2312" w:hAnsi="宋体"/>
          <w:bCs/>
          <w:szCs w:val="32"/>
        </w:rPr>
        <w:t>九、</w:t>
      </w:r>
      <w:r>
        <w:rPr>
          <w:rFonts w:hint="eastAsia" w:ascii="仿宋_GB2312" w:hAnsi="宋体"/>
          <w:bCs/>
          <w:szCs w:val="32"/>
          <w:lang w:eastAsia="zh-CN"/>
        </w:rPr>
        <w:t>国</w:t>
      </w:r>
      <w:r>
        <w:rPr>
          <w:rFonts w:ascii="仿宋_GB2312" w:hAnsi="宋体"/>
          <w:bCs/>
          <w:szCs w:val="32"/>
          <w:lang w:eastAsia="zh-CN"/>
        </w:rPr>
        <w:t>有资本经营预算情况说明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lang w:eastAsia="zh-CN"/>
        </w:rPr>
        <w:t>十</w:t>
      </w:r>
      <w:r>
        <w:rPr>
          <w:rFonts w:ascii="仿宋_GB2312" w:hAnsi="宋体"/>
          <w:bCs/>
          <w:szCs w:val="32"/>
          <w:lang w:eastAsia="zh-CN"/>
        </w:rPr>
        <w:t>、</w:t>
      </w:r>
      <w:r>
        <w:rPr>
          <w:rFonts w:hint="eastAsia" w:ascii="仿宋_GB2312" w:hAnsi="仿宋_GB2312" w:cs="仿宋_GB2312"/>
          <w:bCs/>
          <w:szCs w:val="32"/>
        </w:rPr>
        <w:t>2023年部门预算其他事项说明</w:t>
      </w:r>
    </w:p>
    <w:p>
      <w:pPr>
        <w:pStyle w:val="7"/>
        <w:adjustRightInd w:val="0"/>
        <w:snapToGrid w:val="0"/>
        <w:spacing w:line="560" w:lineRule="exact"/>
        <w:ind w:firstLine="640" w:firstLineChars="200"/>
        <w:rPr>
          <w:rFonts w:hint="eastAsia" w:ascii="仿宋_GB2312" w:hAnsi="宋体"/>
          <w:bCs/>
          <w:szCs w:val="32"/>
        </w:rPr>
      </w:pPr>
    </w:p>
    <w:p>
      <w:pPr>
        <w:pStyle w:val="7"/>
        <w:adjustRightInd w:val="0"/>
        <w:snapToGrid w:val="0"/>
        <w:spacing w:line="560" w:lineRule="exact"/>
        <w:ind w:firstLine="643" w:firstLineChars="200"/>
        <w:rPr>
          <w:rFonts w:ascii="仿宋_GB2312" w:hAnsi="宋体"/>
          <w:b/>
          <w:bCs/>
          <w:szCs w:val="32"/>
        </w:rPr>
      </w:pPr>
      <w:r>
        <w:rPr>
          <w:rFonts w:hint="eastAsia" w:ascii="仿宋_GB2312" w:hAnsi="宋体"/>
          <w:b/>
          <w:bCs/>
          <w:szCs w:val="32"/>
        </w:rPr>
        <w:t>第三部分：名词解释</w:t>
      </w:r>
    </w:p>
    <w:p>
      <w:pPr>
        <w:pStyle w:val="7"/>
        <w:adjustRightInd w:val="0"/>
        <w:snapToGrid w:val="0"/>
        <w:spacing w:line="560" w:lineRule="exact"/>
        <w:ind w:firstLine="640" w:firstLineChars="200"/>
        <w:rPr>
          <w:rFonts w:hint="eastAsia" w:ascii="仿宋_GB2312" w:hAnsi="宋体"/>
          <w:bCs/>
          <w:szCs w:val="32"/>
        </w:rPr>
      </w:pPr>
    </w:p>
    <w:p>
      <w:pPr>
        <w:pStyle w:val="7"/>
        <w:adjustRightInd w:val="0"/>
        <w:snapToGrid w:val="0"/>
        <w:spacing w:line="560" w:lineRule="exact"/>
        <w:ind w:firstLine="643" w:firstLineChars="200"/>
        <w:rPr>
          <w:rFonts w:hint="eastAsia" w:ascii="仿宋_GB2312" w:hAnsi="宋体"/>
          <w:b/>
          <w:bCs/>
          <w:szCs w:val="32"/>
        </w:rPr>
      </w:pPr>
      <w:r>
        <w:rPr>
          <w:rFonts w:hint="eastAsia" w:ascii="仿宋_GB2312" w:hAnsi="宋体"/>
          <w:b/>
          <w:bCs/>
          <w:szCs w:val="32"/>
        </w:rPr>
        <w:t>第四部分：</w:t>
      </w:r>
      <w:bookmarkStart w:id="1" w:name="_Hlk62635248"/>
      <w:r>
        <w:rPr>
          <w:rFonts w:hint="eastAsia" w:ascii="仿宋_GB2312" w:hAnsi="宋体"/>
          <w:b/>
          <w:bCs/>
          <w:szCs w:val="32"/>
        </w:rPr>
        <w:t>自治区</w:t>
      </w:r>
      <w:bookmarkStart w:id="2" w:name="_Hlk63604374"/>
      <w:r>
        <w:rPr>
          <w:rFonts w:hint="eastAsia" w:ascii="仿宋_GB2312" w:hAnsi="宋体"/>
          <w:b/>
          <w:bCs/>
          <w:szCs w:val="32"/>
          <w:lang w:eastAsia="zh-CN"/>
        </w:rPr>
        <w:t>道路运输发展中心</w:t>
      </w:r>
      <w:r>
        <w:rPr>
          <w:rFonts w:hint="eastAsia" w:ascii="仿宋_GB2312" w:hAnsi="宋体"/>
          <w:b/>
          <w:bCs/>
          <w:szCs w:val="32"/>
        </w:rPr>
        <w:t>2</w:t>
      </w:r>
      <w:r>
        <w:rPr>
          <w:rFonts w:ascii="仿宋_GB2312" w:hAnsi="宋体"/>
          <w:b/>
          <w:bCs/>
          <w:szCs w:val="32"/>
        </w:rPr>
        <w:t>023</w:t>
      </w:r>
      <w:r>
        <w:rPr>
          <w:rFonts w:hint="eastAsia" w:ascii="仿宋_GB2312" w:hAnsi="宋体"/>
          <w:b/>
          <w:bCs/>
          <w:szCs w:val="32"/>
        </w:rPr>
        <w:t>年部门预算报表</w:t>
      </w:r>
      <w:bookmarkEnd w:id="1"/>
      <w:bookmarkEnd w:id="2"/>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一、部门收支总体情况表</w:t>
      </w:r>
      <w:r>
        <w:rPr>
          <w:rFonts w:hint="eastAsia" w:ascii="仿宋_GB2312" w:hAnsi="仿宋_GB2312" w:cs="仿宋_GB2312"/>
          <w:bCs/>
          <w:color w:val="000000"/>
          <w:sz w:val="28"/>
          <w:szCs w:val="28"/>
        </w:rPr>
        <w:t>（预算公开01表）</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二、部门收入总体情况表</w:t>
      </w:r>
      <w:r>
        <w:rPr>
          <w:rFonts w:hint="eastAsia" w:ascii="仿宋_GB2312" w:hAnsi="仿宋_GB2312" w:cs="仿宋_GB2312"/>
          <w:bCs/>
          <w:color w:val="000000"/>
          <w:sz w:val="28"/>
          <w:szCs w:val="28"/>
        </w:rPr>
        <w:t>（预算公开02表）</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三、部门支出总体情况表</w:t>
      </w:r>
      <w:r>
        <w:rPr>
          <w:rFonts w:hint="eastAsia" w:ascii="仿宋_GB2312" w:hAnsi="仿宋_GB2312" w:cs="仿宋_GB2312"/>
          <w:bCs/>
          <w:color w:val="000000"/>
          <w:sz w:val="28"/>
          <w:szCs w:val="28"/>
        </w:rPr>
        <w:t>（预算公开03表）</w:t>
      </w:r>
    </w:p>
    <w:p>
      <w:pPr>
        <w:pStyle w:val="7"/>
        <w:adjustRightInd w:val="0"/>
        <w:snapToGrid w:val="0"/>
        <w:spacing w:line="560" w:lineRule="exact"/>
        <w:ind w:firstLine="640" w:firstLineChars="200"/>
        <w:rPr>
          <w:rFonts w:hint="eastAsia" w:ascii="仿宋_GB2312" w:hAnsi="仿宋_GB2312" w:cs="仿宋_GB2312"/>
          <w:bCs/>
          <w:color w:val="000000"/>
          <w:sz w:val="28"/>
          <w:szCs w:val="28"/>
        </w:rPr>
      </w:pPr>
      <w:r>
        <w:rPr>
          <w:rFonts w:hint="eastAsia" w:ascii="仿宋_GB2312" w:hAnsi="宋体"/>
          <w:bCs/>
          <w:szCs w:val="32"/>
        </w:rPr>
        <w:t>四、财政拨款收支总体情况表</w:t>
      </w:r>
      <w:r>
        <w:rPr>
          <w:rFonts w:hint="eastAsia" w:ascii="仿宋_GB2312" w:hAnsi="仿宋_GB2312" w:cs="仿宋_GB2312"/>
          <w:bCs/>
          <w:color w:val="000000"/>
          <w:sz w:val="28"/>
          <w:szCs w:val="28"/>
        </w:rPr>
        <w:t>（预算公开04表）</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五、一般公共预算支出</w:t>
      </w:r>
      <w:r>
        <w:rPr>
          <w:rFonts w:hint="eastAsia" w:ascii="仿宋_GB2312" w:hAnsi="宋体"/>
          <w:bCs/>
          <w:szCs w:val="32"/>
          <w:lang w:eastAsia="zh-CN"/>
        </w:rPr>
        <w:t>情况</w:t>
      </w:r>
      <w:r>
        <w:rPr>
          <w:rFonts w:hint="eastAsia" w:ascii="仿宋_GB2312" w:hAnsi="宋体"/>
          <w:bCs/>
          <w:szCs w:val="32"/>
        </w:rPr>
        <w:t>表（预算公开05表）</w:t>
      </w:r>
    </w:p>
    <w:p>
      <w:pPr>
        <w:pStyle w:val="7"/>
        <w:adjustRightInd w:val="0"/>
        <w:snapToGrid w:val="0"/>
        <w:spacing w:line="560" w:lineRule="exact"/>
        <w:ind w:firstLine="640" w:firstLineChars="200"/>
        <w:rPr>
          <w:rFonts w:hint="eastAsia" w:ascii="仿宋_GB2312" w:hAnsi="仿宋_GB2312" w:cs="仿宋_GB2312"/>
          <w:bCs/>
          <w:color w:val="000000"/>
          <w:sz w:val="28"/>
          <w:szCs w:val="28"/>
        </w:rPr>
      </w:pPr>
      <w:r>
        <w:rPr>
          <w:rFonts w:hint="eastAsia" w:ascii="仿宋_GB2312" w:hAnsi="宋体"/>
          <w:bCs/>
          <w:szCs w:val="32"/>
        </w:rPr>
        <w:t>六、一般公共预算基本支出情况表</w:t>
      </w:r>
      <w:r>
        <w:rPr>
          <w:rFonts w:hint="eastAsia" w:ascii="仿宋_GB2312" w:hAnsi="仿宋_GB2312" w:cs="仿宋_GB2312"/>
          <w:bCs/>
          <w:color w:val="000000"/>
          <w:sz w:val="28"/>
          <w:szCs w:val="28"/>
        </w:rPr>
        <w:t>（预算公开06表）</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七、一般公共预算“三公”经费支出情况表（预算公开07表）</w:t>
      </w:r>
    </w:p>
    <w:p>
      <w:pPr>
        <w:pStyle w:val="7"/>
        <w:adjustRightInd w:val="0"/>
        <w:snapToGrid w:val="0"/>
        <w:spacing w:line="560" w:lineRule="exact"/>
        <w:ind w:firstLine="640" w:firstLineChars="200"/>
        <w:rPr>
          <w:rFonts w:ascii="仿宋_GB2312" w:hAnsi="仿宋_GB2312" w:cs="仿宋_GB2312"/>
          <w:bCs/>
          <w:color w:val="000000"/>
          <w:sz w:val="28"/>
          <w:szCs w:val="28"/>
        </w:rPr>
      </w:pPr>
      <w:r>
        <w:rPr>
          <w:rFonts w:hint="eastAsia" w:ascii="仿宋_GB2312" w:hAnsi="宋体"/>
          <w:bCs/>
          <w:szCs w:val="32"/>
        </w:rPr>
        <w:t>八、政府性基金预算支出情况表</w:t>
      </w:r>
      <w:r>
        <w:rPr>
          <w:rFonts w:hint="eastAsia" w:ascii="仿宋_GB2312" w:hAnsi="仿宋_GB2312" w:cs="仿宋_GB2312"/>
          <w:bCs/>
          <w:color w:val="000000"/>
          <w:sz w:val="28"/>
          <w:szCs w:val="28"/>
        </w:rPr>
        <w:t>（预算公开08表）</w:t>
      </w: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hint="eastAsia" w:ascii="仿宋_GB2312" w:hAnsi="宋体"/>
          <w:bCs/>
          <w:sz w:val="28"/>
          <w:szCs w:val="28"/>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第一部分：自治区道路运输发展中心部门概况</w:t>
      </w:r>
    </w:p>
    <w:p>
      <w:pPr>
        <w:adjustRightInd w:val="0"/>
        <w:snapToGrid w:val="0"/>
        <w:spacing w:line="570" w:lineRule="exact"/>
        <w:ind w:right="-333" w:rightChars="-104" w:firstLine="643" w:firstLineChars="200"/>
        <w:rPr>
          <w:rFonts w:ascii="黑体" w:hAnsi="宋体" w:eastAsia="黑体"/>
          <w:b/>
          <w:bCs/>
          <w:szCs w:val="32"/>
        </w:rPr>
      </w:pPr>
      <w:r>
        <w:rPr>
          <w:rFonts w:hint="eastAsia" w:ascii="黑体" w:hAnsi="宋体" w:eastAsia="黑体"/>
          <w:b/>
          <w:bCs/>
          <w:szCs w:val="32"/>
        </w:rPr>
        <w:t>一</w:t>
      </w:r>
      <w:r>
        <w:rPr>
          <w:rFonts w:ascii="黑体" w:hAnsi="宋体" w:eastAsia="黑体"/>
          <w:b/>
          <w:bCs/>
          <w:szCs w:val="32"/>
        </w:rPr>
        <w:t>、</w:t>
      </w:r>
      <w:r>
        <w:rPr>
          <w:rFonts w:hint="eastAsia" w:ascii="黑体" w:hAnsi="宋体" w:eastAsia="黑体"/>
          <w:b/>
          <w:bCs/>
          <w:szCs w:val="32"/>
        </w:rPr>
        <w:t>主要职责</w:t>
      </w:r>
    </w:p>
    <w:p>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由于2022年自治区机构改革尚未完成，自治区道路运输发展中心“三定”规定未获批复。根据工作安排，暂按改革前的职能履行职责。</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（一</w:t>
      </w:r>
      <w:r>
        <w:rPr>
          <w:rFonts w:ascii="仿宋" w:hAnsi="仿宋" w:eastAsia="仿宋"/>
          <w:bCs/>
          <w:szCs w:val="32"/>
        </w:rPr>
        <w:t>）</w:t>
      </w:r>
      <w:r>
        <w:rPr>
          <w:rFonts w:hint="eastAsia" w:ascii="仿宋" w:hAnsi="仿宋" w:eastAsia="仿宋"/>
          <w:bCs/>
          <w:szCs w:val="32"/>
        </w:rPr>
        <w:t>自治区道路运输发展中心职责</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该中心为广西壮族自治区交通运输厅直属机构，依据《中华人民共和国道路运输条例》，主要负责道路旅客运输、货物运输、运输站（场）、机动车维修和机动车驾驶员培训和国际道路运输等方面的辅助性、技术性、事务性工作。主要职能包括：</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1、贯彻执行国家有关道路运输行业的发展战略、方针、政策和法律、法规；制定全区道路运输行业的发展规划和中长期计划并监督实施。</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2、制定全区道路运输行业发展政策，维护道路运输市场公平竞争秩序；引导道路运输行业优化结构、协调发展；负责道路运输行业统计。</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3、负责广西范围内我国与相关国家政府签署的汽车运输协定的具体实施工作；负责对越运输、GMS便利运输、港澳运输等道路运输合作与交流，组织运输会谈并签订运输合作协议；负责指导全区国际道路运输管理工作。</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4、负责全区道路旅客运输、货物运输、运输站（场）经营、机动车维修和机动车驾驶员培训等行业的工作；负责对重点物资运输、紧急客货运输进行调控。</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5、按照交通运输部“三关一监督”的要求，负责对全区道路运输安全生产的支持保障；负责全区道路运输服务质量监督和纠纷调解。</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6、负责全区道路运输法制建设，组织道路运输科技项目的开发和推广。</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7、指导全区城市客运工作。</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8、负责组织指导全区道路运输管理机构精神文明建设。</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9、承办交通运输厅和上级部门交办的其他工作。</w:t>
      </w:r>
    </w:p>
    <w:p>
      <w:pPr>
        <w:spacing w:line="570" w:lineRule="exact"/>
        <w:ind w:firstLine="640" w:firstLineChars="200"/>
        <w:rPr>
          <w:rFonts w:hint="eastAsia" w:ascii="仿宋" w:hAnsi="仿宋" w:eastAsia="仿宋"/>
          <w:bCs/>
          <w:szCs w:val="32"/>
        </w:rPr>
      </w:pPr>
      <w:r>
        <w:rPr>
          <w:rFonts w:hint="eastAsia" w:ascii="仿宋" w:hAnsi="仿宋" w:eastAsia="仿宋"/>
          <w:bCs/>
          <w:szCs w:val="32"/>
        </w:rPr>
        <w:t>（</w:t>
      </w:r>
      <w:r>
        <w:rPr>
          <w:rFonts w:ascii="仿宋" w:hAnsi="仿宋" w:eastAsia="仿宋"/>
          <w:bCs/>
          <w:szCs w:val="32"/>
        </w:rPr>
        <w:t>二）</w:t>
      </w:r>
      <w:r>
        <w:rPr>
          <w:rFonts w:hint="eastAsia" w:ascii="仿宋" w:hAnsi="仿宋" w:eastAsia="仿宋"/>
          <w:bCs/>
          <w:szCs w:val="32"/>
        </w:rPr>
        <w:t>国际道路运输辅助性、技术性、事务性工作。</w:t>
      </w:r>
    </w:p>
    <w:p>
      <w:pPr>
        <w:spacing w:line="570" w:lineRule="exact"/>
        <w:ind w:firstLine="640" w:firstLineChars="200"/>
        <w:rPr>
          <w:rFonts w:ascii="仿宋" w:hAnsi="仿宋" w:eastAsia="仿宋"/>
          <w:bCs/>
          <w:szCs w:val="32"/>
        </w:rPr>
      </w:pPr>
      <w:r>
        <w:rPr>
          <w:rFonts w:hint="eastAsia" w:ascii="仿宋" w:hAnsi="仿宋" w:eastAsia="仿宋"/>
          <w:bCs/>
          <w:szCs w:val="32"/>
        </w:rPr>
        <w:t>依据《中华人民共和国政府和越南社会主义共和国政府关于修改中越汽车运输协定的议定书》和《中华人民共和国政府和越南社会主义共和国政府关于实施中越汽车运输协定的议定书》（以下简称《修改中越协定议定书》和《实施中越协定议定书》、《中华人民共和国道路运输条例》、《广西壮族自治区道路运输管理条例》、《国际道路运输管理规定》等相关法规，承担国际道路运输管理及内地与港澳之间的道路运输管理的辅助性、技术性、事务性工作。</w:t>
      </w: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二、机构设置情况</w:t>
      </w:r>
    </w:p>
    <w:p>
      <w:pPr>
        <w:pStyle w:val="6"/>
        <w:kinsoku w:val="0"/>
        <w:overflowPunct w:val="0"/>
        <w:spacing w:line="570" w:lineRule="exact"/>
        <w:ind w:left="67" w:leftChars="21" w:right="109" w:rightChars="34" w:firstLine="640" w:firstLineChars="200"/>
        <w:jc w:val="both"/>
        <w:rPr>
          <w:rFonts w:ascii="黑体" w:hAnsi="宋体" w:eastAsia="黑体" w:cs="Times New Roman"/>
          <w:bCs/>
          <w:kern w:val="2"/>
          <w:sz w:val="32"/>
          <w:szCs w:val="32"/>
        </w:rPr>
      </w:pPr>
      <w:r>
        <w:rPr>
          <w:rFonts w:hint="eastAsia" w:ascii="黑体" w:hAnsi="宋体" w:eastAsia="黑体" w:cs="Times New Roman"/>
          <w:bCs/>
          <w:kern w:val="2"/>
          <w:sz w:val="32"/>
          <w:szCs w:val="32"/>
        </w:rPr>
        <w:t>1、机构设置</w:t>
      </w:r>
    </w:p>
    <w:p>
      <w:pPr>
        <w:pStyle w:val="6"/>
        <w:kinsoku w:val="0"/>
        <w:overflowPunct w:val="0"/>
        <w:spacing w:line="570" w:lineRule="exact"/>
        <w:ind w:left="67" w:leftChars="21" w:right="109" w:rightChars="34" w:firstLine="640" w:firstLineChars="200"/>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根据《自治区党委编办关于自治区本级交通运输综合行政执法改革有关事项的批复》（桂编办复〔2020〕163号），友谊关口岸国际道路运输管理处、东兴口岸国际道路运输管理处整建制划入自治区交通运输综合行政执法局。自治区道路运输发展中心不再含有下属单位。</w:t>
      </w:r>
    </w:p>
    <w:p>
      <w:pPr>
        <w:pStyle w:val="6"/>
        <w:kinsoku w:val="0"/>
        <w:overflowPunct w:val="0"/>
        <w:spacing w:line="570" w:lineRule="exact"/>
        <w:ind w:left="67" w:leftChars="21" w:right="109" w:rightChars="34"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rPr>
        <w:t>中心内设13个职能科室,即办公室、人事科（离退休人员工作科）、党委办公室（监察审计室）、规划计划科、财务管理科、国际道路运输管理科、货物运输与物流管理科、旅客运输管理科、城市客运管理科、安全管理科、政策法规科、职业技能管理科、科技信息管理科</w:t>
      </w:r>
      <w:r>
        <w:rPr>
          <w:rFonts w:hint="eastAsia" w:ascii="仿宋" w:hAnsi="仿宋" w:eastAsia="仿宋" w:cs="Times New Roman"/>
          <w:color w:val="000000"/>
          <w:kern w:val="2"/>
          <w:sz w:val="32"/>
          <w:szCs w:val="32"/>
        </w:rPr>
        <w:t>。</w:t>
      </w:r>
    </w:p>
    <w:p>
      <w:pPr>
        <w:pStyle w:val="6"/>
        <w:kinsoku w:val="0"/>
        <w:overflowPunct w:val="0"/>
        <w:spacing w:line="570" w:lineRule="exact"/>
        <w:ind w:left="67" w:leftChars="21" w:right="109" w:rightChars="34" w:firstLine="640" w:firstLineChars="200"/>
        <w:rPr>
          <w:rFonts w:hint="eastAsia" w:ascii="黑体" w:hAnsi="宋体" w:eastAsia="黑体" w:cs="Times New Roman"/>
          <w:bCs/>
          <w:kern w:val="2"/>
          <w:sz w:val="32"/>
          <w:szCs w:val="32"/>
        </w:rPr>
      </w:pPr>
      <w:r>
        <w:rPr>
          <w:rFonts w:hint="eastAsia" w:ascii="黑体" w:hAnsi="宋体" w:eastAsia="黑体" w:cs="Times New Roman"/>
          <w:bCs/>
          <w:kern w:val="2"/>
          <w:sz w:val="32"/>
          <w:szCs w:val="32"/>
        </w:rPr>
        <w:t>2、预算管理方式</w:t>
      </w:r>
    </w:p>
    <w:p>
      <w:pPr>
        <w:pStyle w:val="6"/>
        <w:kinsoku w:val="0"/>
        <w:overflowPunct w:val="0"/>
        <w:spacing w:line="570" w:lineRule="exact"/>
        <w:ind w:left="67" w:leftChars="21" w:right="109" w:rightChars="34" w:firstLine="640" w:firstLineChars="200"/>
        <w:jc w:val="both"/>
        <w:rPr>
          <w:rFonts w:hint="eastAsia" w:ascii="仿宋" w:hAnsi="仿宋" w:eastAsia="仿宋" w:cs="Times New Roman"/>
          <w:color w:val="000000"/>
          <w:kern w:val="2"/>
          <w:sz w:val="32"/>
          <w:szCs w:val="32"/>
        </w:rPr>
      </w:pPr>
      <w:r>
        <w:rPr>
          <w:rFonts w:hint="eastAsia" w:ascii="仿宋" w:hAnsi="仿宋" w:eastAsia="仿宋" w:cs="Times New Roman"/>
          <w:color w:val="000000"/>
          <w:kern w:val="2"/>
          <w:sz w:val="32"/>
          <w:szCs w:val="32"/>
        </w:rPr>
        <w:t>纳入本次预算编制范围是自治区道路运输发展中心本级。属于按自收自支管理的公益一类事业单位。按支出结构分类划分，分为基本支出预算和项目支出预算。</w:t>
      </w: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第二部分：自治区道路运输发展中心202</w:t>
      </w:r>
      <w:r>
        <w:rPr>
          <w:rFonts w:ascii="黑体" w:hAnsi="宋体" w:eastAsia="黑体"/>
          <w:b/>
          <w:bCs/>
          <w:szCs w:val="32"/>
        </w:rPr>
        <w:t>3</w:t>
      </w:r>
      <w:r>
        <w:rPr>
          <w:rFonts w:hint="eastAsia" w:ascii="黑体" w:hAnsi="宋体" w:eastAsia="黑体"/>
          <w:b/>
          <w:bCs/>
          <w:szCs w:val="32"/>
        </w:rPr>
        <w:t>年部门预算说明</w:t>
      </w:r>
    </w:p>
    <w:p>
      <w:pPr>
        <w:spacing w:line="570" w:lineRule="exact"/>
        <w:ind w:firstLine="643" w:firstLineChars="200"/>
        <w:rPr>
          <w:rFonts w:hint="eastAsia" w:ascii="黑体" w:hAnsi="宋体" w:eastAsia="黑体"/>
          <w:b/>
          <w:bCs/>
          <w:szCs w:val="32"/>
        </w:rPr>
      </w:pPr>
      <w:r>
        <w:rPr>
          <w:rFonts w:hint="eastAsia" w:ascii="黑体" w:hAnsi="宋体" w:eastAsia="黑体"/>
          <w:b/>
          <w:bCs/>
          <w:szCs w:val="32"/>
        </w:rPr>
        <w:t>一、部门收支预算情况说明</w:t>
      </w:r>
    </w:p>
    <w:p>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2023年收入总预算4,647.78万元，同比增加1,054.62万元，增长29.35%。其中：一般公共预算拨款</w:t>
      </w:r>
      <w:r>
        <w:rPr>
          <w:rFonts w:ascii="仿宋" w:hAnsi="仿宋" w:eastAsia="仿宋"/>
          <w:color w:val="000000"/>
          <w:szCs w:val="32"/>
        </w:rPr>
        <w:t>4,528.08</w:t>
      </w:r>
      <w:r>
        <w:rPr>
          <w:rFonts w:hint="eastAsia" w:ascii="仿宋" w:hAnsi="仿宋" w:eastAsia="仿宋"/>
          <w:color w:val="000000"/>
          <w:szCs w:val="32"/>
        </w:rPr>
        <w:t>万元；政府性基金预算拨款</w:t>
      </w:r>
      <w:r>
        <w:rPr>
          <w:rFonts w:ascii="仿宋" w:hAnsi="仿宋" w:eastAsia="仿宋"/>
          <w:color w:val="000000"/>
          <w:szCs w:val="32"/>
        </w:rPr>
        <w:t>0</w:t>
      </w:r>
      <w:r>
        <w:rPr>
          <w:rFonts w:hint="eastAsia" w:ascii="仿宋" w:hAnsi="仿宋" w:eastAsia="仿宋"/>
          <w:color w:val="000000"/>
          <w:szCs w:val="32"/>
        </w:rPr>
        <w:t>万元；财政专户管理资金收入</w:t>
      </w:r>
      <w:r>
        <w:rPr>
          <w:rFonts w:ascii="仿宋" w:hAnsi="仿宋" w:eastAsia="仿宋"/>
          <w:color w:val="000000"/>
          <w:szCs w:val="32"/>
        </w:rPr>
        <w:t>0</w:t>
      </w:r>
      <w:r>
        <w:rPr>
          <w:rFonts w:hint="eastAsia" w:ascii="仿宋" w:hAnsi="仿宋" w:eastAsia="仿宋"/>
          <w:color w:val="000000"/>
          <w:szCs w:val="32"/>
        </w:rPr>
        <w:t>万元；事业收入</w:t>
      </w:r>
      <w:r>
        <w:rPr>
          <w:rFonts w:ascii="仿宋" w:hAnsi="仿宋" w:eastAsia="仿宋"/>
          <w:color w:val="000000"/>
          <w:szCs w:val="32"/>
        </w:rPr>
        <w:t>0</w:t>
      </w:r>
      <w:r>
        <w:rPr>
          <w:rFonts w:hint="eastAsia" w:ascii="仿宋" w:hAnsi="仿宋" w:eastAsia="仿宋"/>
          <w:color w:val="000000"/>
          <w:szCs w:val="32"/>
        </w:rPr>
        <w:t>万元；其他收入</w:t>
      </w:r>
      <w:r>
        <w:rPr>
          <w:rFonts w:ascii="仿宋" w:hAnsi="仿宋" w:eastAsia="仿宋"/>
          <w:color w:val="000000"/>
          <w:szCs w:val="32"/>
        </w:rPr>
        <w:t>0</w:t>
      </w:r>
      <w:r>
        <w:rPr>
          <w:rFonts w:hint="eastAsia" w:ascii="仿宋" w:hAnsi="仿宋" w:eastAsia="仿宋"/>
          <w:color w:val="000000"/>
          <w:szCs w:val="32"/>
        </w:rPr>
        <w:t>万元；上年结转结余</w:t>
      </w:r>
      <w:r>
        <w:rPr>
          <w:rFonts w:ascii="仿宋" w:hAnsi="仿宋" w:eastAsia="仿宋"/>
          <w:color w:val="000000"/>
          <w:szCs w:val="32"/>
        </w:rPr>
        <w:t>119.70</w:t>
      </w:r>
      <w:r>
        <w:rPr>
          <w:rFonts w:hint="eastAsia" w:ascii="仿宋" w:hAnsi="仿宋" w:eastAsia="仿宋"/>
          <w:color w:val="000000"/>
          <w:szCs w:val="32"/>
        </w:rPr>
        <w:t>万元。</w:t>
      </w:r>
    </w:p>
    <w:p>
      <w:pPr>
        <w:adjustRightInd w:val="0"/>
        <w:snapToGrid w:val="0"/>
        <w:spacing w:line="570" w:lineRule="exact"/>
        <w:ind w:firstLine="640" w:firstLineChars="200"/>
        <w:rPr>
          <w:rFonts w:hint="eastAsia" w:ascii="仿宋" w:hAnsi="仿宋" w:eastAsia="仿宋"/>
          <w:color w:val="000000"/>
          <w:szCs w:val="32"/>
        </w:rPr>
      </w:pPr>
      <w:r>
        <w:rPr>
          <w:rFonts w:hint="eastAsia" w:ascii="仿宋" w:hAnsi="仿宋" w:eastAsia="仿宋"/>
          <w:color w:val="000000"/>
          <w:szCs w:val="32"/>
        </w:rPr>
        <w:t>2023年支出总预算4,647.78万元，同比增加1,054.62万元，增长29.35%。</w:t>
      </w:r>
      <w:r>
        <w:rPr>
          <w:rFonts w:hint="eastAsia" w:ascii="仿宋_GB2312" w:hAnsi="仿宋_GB2312" w:cs="仿宋_GB2312"/>
          <w:szCs w:val="32"/>
        </w:rPr>
        <w:t>其中：社会保障和就业支出</w:t>
      </w:r>
      <w:r>
        <w:rPr>
          <w:rFonts w:ascii="仿宋_GB2312" w:hAnsi="仿宋_GB2312" w:cs="仿宋_GB2312"/>
          <w:szCs w:val="32"/>
        </w:rPr>
        <w:t>210.60</w:t>
      </w:r>
      <w:r>
        <w:rPr>
          <w:rFonts w:hint="eastAsia" w:ascii="仿宋_GB2312" w:hAnsi="仿宋_GB2312" w:cs="仿宋_GB2312"/>
          <w:szCs w:val="32"/>
        </w:rPr>
        <w:t>万元；卫生健康支出</w:t>
      </w:r>
      <w:r>
        <w:rPr>
          <w:rFonts w:ascii="仿宋_GB2312" w:hAnsi="仿宋_GB2312" w:cs="仿宋_GB2312"/>
          <w:szCs w:val="32"/>
        </w:rPr>
        <w:t>184.63</w:t>
      </w:r>
      <w:r>
        <w:rPr>
          <w:rFonts w:hint="eastAsia" w:ascii="仿宋_GB2312" w:hAnsi="仿宋_GB2312" w:cs="仿宋_GB2312"/>
          <w:szCs w:val="32"/>
        </w:rPr>
        <w:t>万元；交通运输支出</w:t>
      </w:r>
      <w:r>
        <w:rPr>
          <w:rFonts w:ascii="仿宋_GB2312" w:hAnsi="仿宋_GB2312" w:cs="仿宋_GB2312"/>
          <w:szCs w:val="32"/>
        </w:rPr>
        <w:t>4</w:t>
      </w:r>
      <w:r>
        <w:rPr>
          <w:rFonts w:hint="eastAsia" w:ascii="仿宋" w:hAnsi="仿宋" w:eastAsia="仿宋"/>
          <w:color w:val="000000"/>
          <w:szCs w:val="32"/>
        </w:rPr>
        <w:t>,</w:t>
      </w:r>
      <w:r>
        <w:rPr>
          <w:rFonts w:ascii="仿宋_GB2312" w:hAnsi="仿宋_GB2312" w:cs="仿宋_GB2312"/>
          <w:szCs w:val="32"/>
        </w:rPr>
        <w:t>147.25</w:t>
      </w:r>
      <w:r>
        <w:rPr>
          <w:rFonts w:hint="eastAsia" w:ascii="仿宋_GB2312" w:hAnsi="仿宋_GB2312" w:cs="仿宋_GB2312"/>
          <w:szCs w:val="32"/>
        </w:rPr>
        <w:t>万元；住房保障支出</w:t>
      </w:r>
      <w:r>
        <w:rPr>
          <w:rFonts w:ascii="仿宋_GB2312" w:hAnsi="仿宋_GB2312" w:cs="仿宋_GB2312"/>
          <w:szCs w:val="32"/>
        </w:rPr>
        <w:t>105.30</w:t>
      </w:r>
      <w:r>
        <w:rPr>
          <w:rFonts w:hint="eastAsia" w:ascii="仿宋_GB2312" w:hAnsi="仿宋_GB2312" w:cs="仿宋_GB2312"/>
          <w:szCs w:val="32"/>
        </w:rPr>
        <w:t>万元。</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二、部门收入预算情况说明</w:t>
      </w:r>
    </w:p>
    <w:p>
      <w:pPr>
        <w:spacing w:line="570" w:lineRule="exact"/>
        <w:ind w:right="109" w:rightChars="34" w:firstLine="640" w:firstLineChars="200"/>
        <w:rPr>
          <w:rFonts w:ascii="仿宋" w:hAnsi="仿宋" w:eastAsia="仿宋"/>
          <w:color w:val="000000"/>
          <w:szCs w:val="32"/>
        </w:rPr>
      </w:pPr>
      <w:r>
        <w:rPr>
          <w:rFonts w:hint="eastAsia" w:ascii="仿宋" w:hAnsi="仿宋" w:eastAsia="仿宋"/>
          <w:color w:val="000000"/>
          <w:szCs w:val="32"/>
        </w:rPr>
        <w:t>2023年收入总预算4,647.78万元，同比增加1,054.62万元，增长29.35%。其中：</w:t>
      </w:r>
    </w:p>
    <w:p>
      <w:pPr>
        <w:spacing w:line="570" w:lineRule="exact"/>
        <w:ind w:right="109" w:rightChars="34" w:firstLine="640" w:firstLineChars="200"/>
        <w:rPr>
          <w:rFonts w:hint="eastAsia" w:ascii="仿宋" w:hAnsi="仿宋" w:eastAsia="仿宋"/>
          <w:color w:val="000000"/>
          <w:szCs w:val="32"/>
        </w:rPr>
      </w:pPr>
      <w:r>
        <w:rPr>
          <w:rFonts w:hint="eastAsia" w:ascii="仿宋" w:hAnsi="仿宋" w:eastAsia="仿宋"/>
          <w:color w:val="000000"/>
          <w:szCs w:val="32"/>
        </w:rPr>
        <w:t>1、</w:t>
      </w:r>
      <w:r>
        <w:rPr>
          <w:rFonts w:hint="eastAsia" w:ascii="宋体" w:hAnsi="宋体"/>
          <w:snapToGrid w:val="0"/>
          <w:color w:val="000000"/>
          <w:szCs w:val="32"/>
        </w:rPr>
        <w:t>一般公共预算拨款收入4,528.08万元，同比增加1,069.92万元，增长30.94%，增长主要原因是年初预算安排了中央下达的2023年第一批车辆购置税收入补助地方资金(“以奖代补”切块资金)项目1400万</w:t>
      </w:r>
      <w:r>
        <w:rPr>
          <w:rFonts w:ascii="宋体" w:hAnsi="宋体"/>
          <w:snapToGrid w:val="0"/>
          <w:color w:val="000000"/>
          <w:szCs w:val="32"/>
        </w:rPr>
        <w:t>元</w:t>
      </w:r>
      <w:r>
        <w:rPr>
          <w:rFonts w:hint="eastAsia" w:ascii="宋体" w:hAnsi="宋体"/>
          <w:snapToGrid w:val="0"/>
          <w:color w:val="000000"/>
          <w:szCs w:val="32"/>
        </w:rPr>
        <w:t>；</w:t>
      </w:r>
      <w:r>
        <w:rPr>
          <w:rFonts w:hint="eastAsia" w:ascii="仿宋" w:hAnsi="仿宋" w:eastAsia="仿宋"/>
          <w:color w:val="000000"/>
          <w:szCs w:val="32"/>
        </w:rPr>
        <w:t xml:space="preserve"> </w:t>
      </w:r>
    </w:p>
    <w:p>
      <w:pPr>
        <w:pStyle w:val="6"/>
        <w:kinsoku w:val="0"/>
        <w:overflowPunct w:val="0"/>
        <w:spacing w:before="42" w:line="570" w:lineRule="exact"/>
        <w:ind w:left="0" w:right="109" w:rightChars="34" w:firstLine="640" w:firstLineChars="200"/>
        <w:jc w:val="both"/>
        <w:rPr>
          <w:rFonts w:ascii="宋体" w:hAnsi="宋体" w:cs="Times New Roman"/>
          <w:snapToGrid w:val="0"/>
          <w:color w:val="000000"/>
          <w:kern w:val="2"/>
          <w:sz w:val="32"/>
          <w:szCs w:val="32"/>
        </w:rPr>
      </w:pPr>
      <w:r>
        <w:rPr>
          <w:rFonts w:hint="eastAsia" w:ascii="宋体" w:hAnsi="宋体" w:cs="Times New Roman"/>
          <w:snapToGrid w:val="0"/>
          <w:color w:val="000000"/>
          <w:kern w:val="2"/>
          <w:sz w:val="32"/>
          <w:szCs w:val="32"/>
        </w:rPr>
        <w:t>2、政府性基金预算拨款0万元。</w:t>
      </w:r>
    </w:p>
    <w:p>
      <w:pPr>
        <w:pStyle w:val="6"/>
        <w:kinsoku w:val="0"/>
        <w:overflowPunct w:val="0"/>
        <w:spacing w:before="42" w:line="570" w:lineRule="exact"/>
        <w:ind w:left="0" w:right="109" w:rightChars="34" w:firstLine="640" w:firstLineChars="200"/>
        <w:jc w:val="both"/>
        <w:rPr>
          <w:rFonts w:ascii="宋体" w:hAnsi="宋体" w:cs="Times New Roman"/>
          <w:snapToGrid w:val="0"/>
          <w:color w:val="000000"/>
          <w:kern w:val="2"/>
          <w:sz w:val="32"/>
          <w:szCs w:val="32"/>
        </w:rPr>
      </w:pPr>
      <w:r>
        <w:rPr>
          <w:rFonts w:hint="eastAsia" w:ascii="宋体" w:hAnsi="宋体" w:cs="Times New Roman"/>
          <w:snapToGrid w:val="0"/>
          <w:color w:val="000000"/>
          <w:kern w:val="2"/>
          <w:sz w:val="32"/>
          <w:szCs w:val="32"/>
        </w:rPr>
        <w:t>3、纳入财政专户管理的收入安排的资金0万元。</w:t>
      </w:r>
    </w:p>
    <w:p>
      <w:pPr>
        <w:pStyle w:val="6"/>
        <w:kinsoku w:val="0"/>
        <w:overflowPunct w:val="0"/>
        <w:spacing w:before="42" w:line="570" w:lineRule="exact"/>
        <w:ind w:left="0" w:right="109" w:rightChars="34" w:firstLine="640" w:firstLineChars="200"/>
        <w:jc w:val="both"/>
        <w:rPr>
          <w:rFonts w:ascii="宋体" w:hAnsi="宋体" w:cs="Times New Roman"/>
          <w:snapToGrid w:val="0"/>
          <w:color w:val="000000"/>
          <w:kern w:val="2"/>
          <w:sz w:val="32"/>
          <w:szCs w:val="32"/>
        </w:rPr>
      </w:pPr>
      <w:r>
        <w:rPr>
          <w:rFonts w:hint="eastAsia" w:ascii="宋体" w:hAnsi="宋体" w:cs="Times New Roman"/>
          <w:snapToGrid w:val="0"/>
          <w:color w:val="000000"/>
          <w:kern w:val="2"/>
          <w:sz w:val="32"/>
          <w:szCs w:val="32"/>
        </w:rPr>
        <w:t>4、其他收入</w:t>
      </w:r>
      <w:r>
        <w:rPr>
          <w:rFonts w:ascii="宋体" w:hAnsi="宋体" w:cs="Times New Roman"/>
          <w:snapToGrid w:val="0"/>
          <w:color w:val="000000"/>
          <w:kern w:val="2"/>
          <w:sz w:val="32"/>
          <w:szCs w:val="32"/>
        </w:rPr>
        <w:t>0</w:t>
      </w:r>
      <w:r>
        <w:rPr>
          <w:rFonts w:hint="eastAsia" w:ascii="宋体" w:hAnsi="宋体" w:cs="Times New Roman"/>
          <w:snapToGrid w:val="0"/>
          <w:color w:val="000000"/>
          <w:kern w:val="2"/>
          <w:sz w:val="32"/>
          <w:szCs w:val="32"/>
        </w:rPr>
        <w:t>万元。</w:t>
      </w:r>
    </w:p>
    <w:p>
      <w:pPr>
        <w:pStyle w:val="6"/>
        <w:kinsoku w:val="0"/>
        <w:overflowPunct w:val="0"/>
        <w:spacing w:before="42" w:line="570" w:lineRule="exact"/>
        <w:ind w:left="0" w:right="109" w:rightChars="34" w:firstLine="646" w:firstLineChars="202"/>
        <w:jc w:val="both"/>
        <w:rPr>
          <w:rFonts w:hint="eastAsia" w:ascii="宋体" w:hAnsi="宋体" w:cs="Times New Roman"/>
          <w:snapToGrid w:val="0"/>
          <w:color w:val="000000"/>
          <w:kern w:val="2"/>
          <w:sz w:val="32"/>
          <w:szCs w:val="32"/>
        </w:rPr>
      </w:pPr>
      <w:r>
        <w:rPr>
          <w:rFonts w:hint="eastAsia" w:ascii="宋体" w:hAnsi="宋体" w:cs="Times New Roman"/>
          <w:snapToGrid w:val="0"/>
          <w:color w:val="000000"/>
          <w:kern w:val="2"/>
          <w:sz w:val="32"/>
          <w:szCs w:val="32"/>
        </w:rPr>
        <w:t>5、上年结余结转</w:t>
      </w:r>
      <w:r>
        <w:rPr>
          <w:rFonts w:ascii="宋体" w:hAnsi="宋体" w:cs="Times New Roman"/>
          <w:snapToGrid w:val="0"/>
          <w:color w:val="000000"/>
          <w:kern w:val="2"/>
          <w:sz w:val="32"/>
          <w:szCs w:val="32"/>
        </w:rPr>
        <w:t>119.70</w:t>
      </w:r>
      <w:r>
        <w:rPr>
          <w:rFonts w:hint="eastAsia" w:ascii="宋体" w:hAnsi="宋体" w:cs="Times New Roman"/>
          <w:snapToGrid w:val="0"/>
          <w:color w:val="000000"/>
          <w:kern w:val="2"/>
          <w:sz w:val="32"/>
          <w:szCs w:val="32"/>
        </w:rPr>
        <w:t>万元，同比减少15.30万元，下降11.33%。结余收入减少。</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三、部门支出预算情况说明</w:t>
      </w:r>
    </w:p>
    <w:p>
      <w:pPr>
        <w:spacing w:line="570" w:lineRule="exact"/>
        <w:ind w:firstLine="640" w:firstLineChars="200"/>
        <w:rPr>
          <w:rFonts w:ascii="仿宋" w:hAnsi="仿宋" w:eastAsia="仿宋"/>
          <w:color w:val="000000"/>
          <w:szCs w:val="32"/>
        </w:rPr>
      </w:pPr>
      <w:r>
        <w:rPr>
          <w:rFonts w:hint="eastAsia" w:ascii="宋体" w:hAnsi="宋体"/>
          <w:snapToGrid w:val="0"/>
          <w:color w:val="000000"/>
          <w:szCs w:val="32"/>
        </w:rPr>
        <w:t>2023年支出总预算4,647.78万元，同比增加1,054.62万元，增长29.35%。</w:t>
      </w:r>
      <w:r>
        <w:rPr>
          <w:rFonts w:hint="eastAsia" w:ascii="仿宋" w:hAnsi="仿宋" w:eastAsia="仿宋"/>
          <w:color w:val="000000"/>
          <w:szCs w:val="32"/>
        </w:rPr>
        <w:t>其中：</w:t>
      </w:r>
    </w:p>
    <w:p>
      <w:pPr>
        <w:spacing w:line="570" w:lineRule="exact"/>
        <w:ind w:firstLine="640" w:firstLineChars="200"/>
        <w:rPr>
          <w:rFonts w:ascii="宋体" w:hAnsi="宋体"/>
          <w:snapToGrid w:val="0"/>
          <w:color w:val="000000"/>
          <w:szCs w:val="32"/>
        </w:rPr>
      </w:pPr>
      <w:r>
        <w:rPr>
          <w:rFonts w:hint="eastAsia" w:ascii="宋体" w:hAnsi="宋体"/>
          <w:snapToGrid w:val="0"/>
          <w:color w:val="000000"/>
          <w:szCs w:val="32"/>
        </w:rPr>
        <w:t>基本支出预算1,553.38万元，占支出总预算33.42%，同比减少588.20万元，下降27.47%。下降主要原因一是绩效工资总量降低，相应工资降低；二是2023年在职在编人员减少；</w:t>
      </w:r>
      <w:r>
        <w:rPr>
          <w:rFonts w:ascii="宋体" w:hAnsi="宋体"/>
          <w:snapToGrid w:val="0"/>
          <w:color w:val="000000"/>
          <w:szCs w:val="32"/>
        </w:rPr>
        <w:t>三是</w:t>
      </w:r>
      <w:r>
        <w:rPr>
          <w:rFonts w:hint="eastAsia" w:ascii="宋体" w:hAnsi="宋体"/>
          <w:snapToGrid w:val="0"/>
          <w:color w:val="000000"/>
          <w:szCs w:val="32"/>
        </w:rPr>
        <w:t>绩效工资总量降低，相应其他对个人和家庭补助减少。</w:t>
      </w:r>
    </w:p>
    <w:p>
      <w:pPr>
        <w:spacing w:line="570" w:lineRule="exact"/>
        <w:ind w:firstLine="640" w:firstLineChars="200"/>
        <w:rPr>
          <w:rFonts w:ascii="宋体" w:hAnsi="宋体"/>
          <w:snapToGrid w:val="0"/>
          <w:color w:val="000000"/>
          <w:szCs w:val="32"/>
        </w:rPr>
      </w:pPr>
      <w:r>
        <w:rPr>
          <w:rFonts w:hint="eastAsia" w:ascii="宋体" w:hAnsi="宋体"/>
          <w:snapToGrid w:val="0"/>
          <w:color w:val="000000"/>
          <w:szCs w:val="32"/>
        </w:rPr>
        <w:t>项目支出预算3</w:t>
      </w:r>
      <w:r>
        <w:rPr>
          <w:rFonts w:hint="eastAsia" w:ascii="仿宋" w:hAnsi="仿宋" w:eastAsia="仿宋"/>
          <w:color w:val="000000"/>
          <w:szCs w:val="32"/>
        </w:rPr>
        <w:t>,</w:t>
      </w:r>
      <w:r>
        <w:rPr>
          <w:rFonts w:hint="eastAsia" w:ascii="宋体" w:hAnsi="宋体"/>
          <w:snapToGrid w:val="0"/>
          <w:color w:val="000000"/>
          <w:szCs w:val="32"/>
        </w:rPr>
        <w:t>094.40万元，占支出总预算66.58%，同比增加1</w:t>
      </w:r>
      <w:r>
        <w:rPr>
          <w:rFonts w:hint="eastAsia" w:ascii="仿宋" w:hAnsi="仿宋" w:eastAsia="仿宋"/>
          <w:color w:val="000000"/>
          <w:szCs w:val="32"/>
        </w:rPr>
        <w:t>,</w:t>
      </w:r>
      <w:r>
        <w:rPr>
          <w:rFonts w:hint="eastAsia" w:ascii="宋体" w:hAnsi="宋体"/>
          <w:snapToGrid w:val="0"/>
          <w:color w:val="000000"/>
          <w:szCs w:val="32"/>
        </w:rPr>
        <w:t>642.82万元，增长113.17%，增长主要原因是年初预算安排了中央下达的2023年第一批车辆购置税收入补助地方资金(“以奖代补”切块资金)项目1400万元。</w:t>
      </w:r>
    </w:p>
    <w:p>
      <w:pPr>
        <w:spacing w:line="570" w:lineRule="exact"/>
        <w:ind w:firstLine="643" w:firstLineChars="200"/>
        <w:rPr>
          <w:rFonts w:ascii="仿宋" w:hAnsi="仿宋" w:eastAsia="仿宋"/>
          <w:b/>
          <w:bCs/>
          <w:szCs w:val="32"/>
        </w:rPr>
      </w:pPr>
      <w:r>
        <w:rPr>
          <w:rFonts w:hint="eastAsia" w:ascii="仿宋" w:hAnsi="仿宋" w:eastAsia="仿宋"/>
          <w:b/>
          <w:bCs/>
          <w:szCs w:val="32"/>
        </w:rPr>
        <w:t>四、</w:t>
      </w:r>
      <w:bookmarkStart w:id="3" w:name="_Hlk63604857"/>
      <w:r>
        <w:rPr>
          <w:rFonts w:hint="eastAsia" w:ascii="仿宋" w:hAnsi="仿宋" w:eastAsia="仿宋"/>
          <w:b/>
          <w:bCs/>
          <w:szCs w:val="32"/>
        </w:rPr>
        <w:t>财政拨款收支预算情况说明</w:t>
      </w:r>
      <w:bookmarkEnd w:id="3"/>
    </w:p>
    <w:p>
      <w:pPr>
        <w:adjustRightInd w:val="0"/>
        <w:snapToGrid w:val="0"/>
        <w:spacing w:line="570" w:lineRule="exact"/>
        <w:ind w:firstLine="640"/>
        <w:rPr>
          <w:rFonts w:ascii="宋体" w:hAnsi="宋体"/>
          <w:snapToGrid w:val="0"/>
          <w:color w:val="000000"/>
          <w:szCs w:val="32"/>
        </w:rPr>
      </w:pPr>
      <w:r>
        <w:rPr>
          <w:rFonts w:hint="eastAsia" w:ascii="宋体" w:hAnsi="宋体"/>
          <w:snapToGrid w:val="0"/>
          <w:color w:val="000000"/>
          <w:szCs w:val="32"/>
        </w:rPr>
        <w:t>202</w:t>
      </w:r>
      <w:r>
        <w:rPr>
          <w:rFonts w:ascii="宋体" w:hAnsi="宋体"/>
          <w:snapToGrid w:val="0"/>
          <w:color w:val="000000"/>
          <w:szCs w:val="32"/>
        </w:rPr>
        <w:t>3</w:t>
      </w:r>
      <w:r>
        <w:rPr>
          <w:rFonts w:hint="eastAsia" w:ascii="宋体" w:hAnsi="宋体"/>
          <w:snapToGrid w:val="0"/>
          <w:color w:val="000000"/>
          <w:szCs w:val="32"/>
        </w:rPr>
        <w:t>年财</w:t>
      </w:r>
      <w:r>
        <w:rPr>
          <w:rFonts w:ascii="宋体" w:hAnsi="宋体"/>
          <w:snapToGrid w:val="0"/>
          <w:color w:val="000000"/>
          <w:szCs w:val="32"/>
        </w:rPr>
        <w:t>政</w:t>
      </w:r>
      <w:r>
        <w:rPr>
          <w:rFonts w:hint="eastAsia" w:ascii="宋体" w:hAnsi="宋体"/>
          <w:snapToGrid w:val="0"/>
          <w:color w:val="000000"/>
          <w:szCs w:val="32"/>
        </w:rPr>
        <w:t>拨款收入预算4,528.08万元，同比增加1,069.92万元，增长30.94%。收入包括一般公共预算拨款</w:t>
      </w:r>
      <w:r>
        <w:rPr>
          <w:rFonts w:ascii="宋体" w:hAnsi="宋体"/>
          <w:snapToGrid w:val="0"/>
          <w:color w:val="000000"/>
          <w:szCs w:val="32"/>
        </w:rPr>
        <w:t>4,528.08</w:t>
      </w:r>
      <w:r>
        <w:rPr>
          <w:rFonts w:hint="eastAsia" w:ascii="宋体" w:hAnsi="宋体"/>
          <w:snapToGrid w:val="0"/>
          <w:color w:val="000000"/>
          <w:szCs w:val="32"/>
        </w:rPr>
        <w:t>万元。202</w:t>
      </w:r>
      <w:r>
        <w:rPr>
          <w:rFonts w:ascii="宋体" w:hAnsi="宋体"/>
          <w:snapToGrid w:val="0"/>
          <w:color w:val="000000"/>
          <w:szCs w:val="32"/>
        </w:rPr>
        <w:t>3</w:t>
      </w:r>
      <w:r>
        <w:rPr>
          <w:rFonts w:hint="eastAsia" w:ascii="宋体" w:hAnsi="宋体"/>
          <w:snapToGrid w:val="0"/>
          <w:color w:val="000000"/>
          <w:szCs w:val="32"/>
        </w:rPr>
        <w:t>年财政拨款收入预算增长的主要原因一</w:t>
      </w:r>
      <w:r>
        <w:rPr>
          <w:rFonts w:ascii="宋体" w:hAnsi="宋体"/>
          <w:snapToGrid w:val="0"/>
          <w:color w:val="000000"/>
          <w:szCs w:val="32"/>
        </w:rPr>
        <w:t>是</w:t>
      </w:r>
      <w:r>
        <w:rPr>
          <w:rFonts w:hint="eastAsia" w:ascii="宋体" w:hAnsi="宋体"/>
          <w:snapToGrid w:val="0"/>
          <w:szCs w:val="32"/>
        </w:rPr>
        <w:t>根据《自治区党委编办关于自治区本级交通运输综合行政执法改革有关事项的批复》(桂编办复〔2020〕163号)</w:t>
      </w:r>
      <w:r>
        <w:rPr>
          <w:rFonts w:ascii="宋体" w:hAnsi="宋体"/>
          <w:snapToGrid w:val="0"/>
          <w:szCs w:val="32"/>
        </w:rPr>
        <w:t>，</w:t>
      </w:r>
      <w:r>
        <w:rPr>
          <w:rFonts w:hint="eastAsia" w:ascii="宋体" w:hAnsi="宋体"/>
          <w:snapToGrid w:val="0"/>
          <w:szCs w:val="32"/>
        </w:rPr>
        <w:t>友谊关口岸国际道路运输管理处、东兴口岸国际道路运输管理处整建制划入自治区交通运输综合行政执法局，预算编制单位减少；二是由于机构改革，该中心202</w:t>
      </w:r>
      <w:r>
        <w:rPr>
          <w:rFonts w:ascii="宋体" w:hAnsi="宋体"/>
          <w:snapToGrid w:val="0"/>
          <w:szCs w:val="32"/>
        </w:rPr>
        <w:t>3</w:t>
      </w:r>
      <w:r>
        <w:rPr>
          <w:rFonts w:hint="eastAsia" w:ascii="宋体" w:hAnsi="宋体"/>
          <w:snapToGrid w:val="0"/>
          <w:szCs w:val="32"/>
        </w:rPr>
        <w:t>年在职在编人员减少；三</w:t>
      </w:r>
      <w:r>
        <w:rPr>
          <w:rFonts w:ascii="宋体" w:hAnsi="宋体"/>
          <w:snapToGrid w:val="0"/>
          <w:szCs w:val="32"/>
        </w:rPr>
        <w:t>是</w:t>
      </w:r>
      <w:r>
        <w:rPr>
          <w:rFonts w:hint="eastAsia" w:ascii="宋体" w:hAnsi="宋体"/>
          <w:snapToGrid w:val="0"/>
          <w:szCs w:val="32"/>
        </w:rPr>
        <w:t>年</w:t>
      </w:r>
      <w:r>
        <w:rPr>
          <w:rFonts w:ascii="宋体" w:hAnsi="宋体"/>
          <w:snapToGrid w:val="0"/>
          <w:szCs w:val="32"/>
        </w:rPr>
        <w:t>初预算安排了中央下达的</w:t>
      </w:r>
      <w:r>
        <w:rPr>
          <w:rFonts w:hint="eastAsia" w:ascii="宋体" w:hAnsi="宋体"/>
          <w:snapToGrid w:val="0"/>
          <w:szCs w:val="32"/>
        </w:rPr>
        <w:t>2023年第一批车辆购置税收入补助地方资金(“以奖代补”切块资金)项目。</w:t>
      </w:r>
    </w:p>
    <w:p>
      <w:pPr>
        <w:spacing w:line="570" w:lineRule="exact"/>
        <w:ind w:firstLine="640" w:firstLineChars="200"/>
        <w:rPr>
          <w:rFonts w:ascii="仿宋" w:hAnsi="仿宋" w:eastAsia="仿宋"/>
          <w:color w:val="000000"/>
          <w:szCs w:val="32"/>
        </w:rPr>
      </w:pPr>
      <w:r>
        <w:rPr>
          <w:rFonts w:hint="eastAsia" w:ascii="宋体" w:hAnsi="宋体"/>
          <w:snapToGrid w:val="0"/>
          <w:color w:val="000000"/>
          <w:szCs w:val="32"/>
        </w:rPr>
        <w:t>2023年财</w:t>
      </w:r>
      <w:r>
        <w:rPr>
          <w:rFonts w:ascii="宋体" w:hAnsi="宋体"/>
          <w:snapToGrid w:val="0"/>
          <w:color w:val="000000"/>
          <w:szCs w:val="32"/>
        </w:rPr>
        <w:t>政</w:t>
      </w:r>
      <w:r>
        <w:rPr>
          <w:rFonts w:hint="eastAsia" w:ascii="宋体" w:hAnsi="宋体"/>
          <w:snapToGrid w:val="0"/>
          <w:color w:val="000000"/>
          <w:szCs w:val="32"/>
        </w:rPr>
        <w:t>拨款支出预算4,528.08万元，同比增加1,069.92万元，增长30.94%。</w:t>
      </w:r>
      <w:r>
        <w:rPr>
          <w:rFonts w:hint="eastAsia" w:ascii="仿宋" w:hAnsi="仿宋" w:eastAsia="仿宋"/>
          <w:color w:val="000000"/>
          <w:szCs w:val="32"/>
        </w:rPr>
        <w:t>支出包括其中：社会保障和就业支出210.60万元；卫生健康支出</w:t>
      </w:r>
      <w:r>
        <w:rPr>
          <w:rFonts w:ascii="仿宋" w:hAnsi="仿宋" w:eastAsia="仿宋"/>
          <w:color w:val="000000"/>
          <w:szCs w:val="32"/>
        </w:rPr>
        <w:t>64.93</w:t>
      </w:r>
      <w:r>
        <w:rPr>
          <w:rFonts w:hint="eastAsia" w:ascii="仿宋" w:hAnsi="仿宋" w:eastAsia="仿宋"/>
          <w:color w:val="000000"/>
          <w:szCs w:val="32"/>
        </w:rPr>
        <w:t>万元；交通运输支出4,147.25万元；住房保障支出105.30万元。主要原因一是年初预算安排了中央下达的2023年第一批车辆购置税收入补助地方资金(“以奖代补”切块资金)项目1400万元；二是2023年在职在编人员减少；三是绩效工资总量降低。</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五、一般公共预算支出预算情况说明</w:t>
      </w:r>
    </w:p>
    <w:p>
      <w:pPr>
        <w:tabs>
          <w:tab w:val="center" w:pos="4475"/>
        </w:tabs>
        <w:spacing w:line="570" w:lineRule="exact"/>
        <w:ind w:firstLine="640" w:firstLineChars="200"/>
        <w:rPr>
          <w:rFonts w:ascii="仿宋" w:hAnsi="仿宋" w:eastAsia="仿宋"/>
          <w:color w:val="000000"/>
          <w:szCs w:val="32"/>
        </w:rPr>
      </w:pPr>
      <w:r>
        <w:rPr>
          <w:rFonts w:hint="eastAsia" w:ascii="仿宋" w:hAnsi="仿宋" w:eastAsia="仿宋"/>
          <w:color w:val="000000"/>
          <w:szCs w:val="32"/>
        </w:rPr>
        <w:t>2023年一般公共预算拨款支出4,528.08万元，同比增加1,069.92万元，增长30.94%，其中：基本支出预算1,553.38万元，占支出总预算33.42%，同比减少588.20万元，下降27.47%；项目支出预算2,974.70万元，占支出总预算65.70%，同比增加1,658.12万元，增长125.94%。</w:t>
      </w:r>
    </w:p>
    <w:p>
      <w:pPr>
        <w:tabs>
          <w:tab w:val="center" w:pos="4475"/>
        </w:tabs>
        <w:spacing w:line="570" w:lineRule="exact"/>
        <w:ind w:firstLine="640" w:firstLineChars="200"/>
        <w:rPr>
          <w:rFonts w:hint="eastAsia" w:ascii="仿宋" w:hAnsi="仿宋" w:eastAsia="仿宋"/>
          <w:color w:val="000000"/>
          <w:szCs w:val="32"/>
        </w:rPr>
      </w:pPr>
      <w:r>
        <w:rPr>
          <w:rFonts w:hint="eastAsia" w:ascii="仿宋" w:hAnsi="仿宋" w:eastAsia="仿宋"/>
          <w:color w:val="000000"/>
          <w:szCs w:val="32"/>
        </w:rPr>
        <w:t>按支出功能分类科目划分，共分为4类，其中：</w:t>
      </w:r>
    </w:p>
    <w:p>
      <w:pPr>
        <w:tabs>
          <w:tab w:val="center" w:pos="4475"/>
        </w:tabs>
        <w:spacing w:line="560" w:lineRule="exact"/>
        <w:ind w:firstLine="640" w:firstLineChars="200"/>
        <w:rPr>
          <w:rFonts w:ascii="仿宋" w:hAnsi="仿宋" w:eastAsia="仿宋"/>
          <w:color w:val="000000"/>
          <w:szCs w:val="32"/>
        </w:rPr>
      </w:pPr>
      <w:r>
        <w:rPr>
          <w:rFonts w:hint="eastAsia" w:ascii="仿宋" w:hAnsi="仿宋" w:eastAsia="仿宋"/>
          <w:color w:val="000000"/>
          <w:szCs w:val="32"/>
        </w:rPr>
        <w:t>社会保障和就业支出类科目支出210.60万元，占支出总预算4.65%，同比减少82.79万元，下降28.22%，下降主要原因一是2023年在职在编人员减少，二是绩效工资总量降低，相应计算基数降低。</w:t>
      </w:r>
    </w:p>
    <w:p>
      <w:pPr>
        <w:tabs>
          <w:tab w:val="center" w:pos="4475"/>
        </w:tabs>
        <w:spacing w:line="560" w:lineRule="exact"/>
        <w:ind w:firstLine="640" w:firstLineChars="200"/>
        <w:rPr>
          <w:rFonts w:ascii="仿宋" w:hAnsi="仿宋" w:eastAsia="仿宋"/>
          <w:color w:val="000000"/>
          <w:szCs w:val="32"/>
        </w:rPr>
      </w:pPr>
      <w:r>
        <w:rPr>
          <w:rFonts w:hint="eastAsia" w:ascii="仿宋" w:hAnsi="仿宋" w:eastAsia="仿宋"/>
          <w:color w:val="000000"/>
          <w:szCs w:val="32"/>
        </w:rPr>
        <w:t>卫生健康支出类科目支出64.93万元，占支出总预算1.43%，同比减少25.53万元，下降28.22%，下降原因是2023年在职在编人员减少。</w:t>
      </w:r>
    </w:p>
    <w:p>
      <w:pPr>
        <w:tabs>
          <w:tab w:val="center" w:pos="4475"/>
        </w:tabs>
        <w:spacing w:line="560" w:lineRule="exact"/>
        <w:ind w:firstLine="640" w:firstLineChars="200"/>
        <w:rPr>
          <w:rFonts w:ascii="仿宋" w:hAnsi="仿宋" w:eastAsia="仿宋"/>
          <w:color w:val="000000"/>
          <w:szCs w:val="32"/>
        </w:rPr>
      </w:pPr>
      <w:r>
        <w:rPr>
          <w:rFonts w:hint="eastAsia" w:ascii="仿宋" w:hAnsi="仿宋" w:eastAsia="仿宋"/>
          <w:color w:val="000000"/>
          <w:szCs w:val="32"/>
        </w:rPr>
        <w:t>交通运输支出类科目支出4,147.25万元，占支出总预算91.59%，同比增加1,219.64万元，增长41.66%，变动的主要原因一是年初预算安排了中央下达的2023年第一批车辆购置税收入补助地方资金(“以奖代补”切块资金)项目；二是2023年根据工作计划，相应道路运输服务项目支出增加。</w:t>
      </w:r>
    </w:p>
    <w:p>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住房保障支出类科目支出105.30万元，占支出总预算2.33%，同比减少41.39万元，下降28.22%，下降主要原因一是2023年在职在编人员减少；二是绩效工资总量降低。</w:t>
      </w:r>
    </w:p>
    <w:p>
      <w:pPr>
        <w:adjustRightInd w:val="0"/>
        <w:snapToGrid w:val="0"/>
        <w:spacing w:line="570" w:lineRule="exact"/>
        <w:ind w:firstLine="640"/>
        <w:rPr>
          <w:rFonts w:hint="eastAsia" w:ascii="仿宋" w:hAnsi="仿宋" w:eastAsia="仿宋"/>
          <w:color w:val="000000"/>
          <w:szCs w:val="32"/>
        </w:rPr>
      </w:pPr>
      <w:r>
        <w:rPr>
          <w:rFonts w:hint="eastAsia" w:ascii="仿宋" w:hAnsi="仿宋" w:eastAsia="仿宋"/>
          <w:b/>
          <w:bCs/>
          <w:szCs w:val="32"/>
        </w:rPr>
        <w:t>六、一般公共预算基本支出预算情况说</w:t>
      </w:r>
      <w:r>
        <w:rPr>
          <w:rFonts w:ascii="仿宋" w:hAnsi="仿宋" w:eastAsia="仿宋"/>
          <w:b/>
          <w:bCs/>
          <w:szCs w:val="32"/>
        </w:rPr>
        <w:t>明</w:t>
      </w:r>
    </w:p>
    <w:p>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2</w:t>
      </w:r>
      <w:r>
        <w:rPr>
          <w:rFonts w:ascii="仿宋" w:hAnsi="仿宋" w:eastAsia="仿宋"/>
          <w:color w:val="000000"/>
          <w:szCs w:val="32"/>
        </w:rPr>
        <w:t>023</w:t>
      </w:r>
      <w:r>
        <w:rPr>
          <w:rFonts w:hint="eastAsia" w:ascii="仿宋" w:hAnsi="仿宋" w:eastAsia="仿宋"/>
          <w:color w:val="000000"/>
          <w:szCs w:val="32"/>
        </w:rPr>
        <w:t xml:space="preserve">年一般公共预算基本支出预算1,553.38万元，占支出总预算34.30%，同比减少588.20万元，下降27.47%。其中：工资福利支出工资福利支出预算1,279.08万元，占基本支出预算82.34%，同比减少862.50万元，下降40.27%；商品和服务支出预算118.11万元，占基本支出预算7.60%，同比减少70.69万元，下降37.44%。；对个人和家庭的补助预算156.19万元，占基本支出预算10.06%，同比减少14.19万元，下降8.33%。  </w:t>
      </w:r>
    </w:p>
    <w:p>
      <w:pPr>
        <w:adjustRightInd w:val="0"/>
        <w:snapToGrid w:val="0"/>
        <w:spacing w:line="570" w:lineRule="exact"/>
        <w:ind w:firstLine="640"/>
        <w:rPr>
          <w:rFonts w:hint="eastAsia" w:ascii="仿宋" w:hAnsi="仿宋" w:eastAsia="仿宋"/>
          <w:b/>
          <w:bCs/>
          <w:szCs w:val="32"/>
        </w:rPr>
      </w:pPr>
      <w:r>
        <w:rPr>
          <w:rFonts w:hint="eastAsia" w:ascii="仿宋" w:hAnsi="仿宋" w:eastAsia="仿宋"/>
          <w:b/>
          <w:bCs/>
          <w:szCs w:val="32"/>
        </w:rPr>
        <w:t>七、一般公共预算“三公”经费支出预算情况说</w:t>
      </w:r>
      <w:r>
        <w:rPr>
          <w:rFonts w:ascii="仿宋" w:hAnsi="仿宋" w:eastAsia="仿宋"/>
          <w:b/>
          <w:bCs/>
          <w:szCs w:val="32"/>
        </w:rPr>
        <w:t>明</w:t>
      </w:r>
    </w:p>
    <w:p>
      <w:pPr>
        <w:tabs>
          <w:tab w:val="center" w:pos="4475"/>
        </w:tabs>
        <w:spacing w:line="560" w:lineRule="exact"/>
        <w:ind w:firstLine="640" w:firstLineChars="200"/>
        <w:rPr>
          <w:rFonts w:hint="eastAsia" w:ascii="仿宋" w:hAnsi="仿宋" w:eastAsia="仿宋"/>
          <w:color w:val="000000"/>
          <w:szCs w:val="32"/>
        </w:rPr>
      </w:pPr>
      <w:r>
        <w:rPr>
          <w:rFonts w:hint="eastAsia" w:ascii="仿宋" w:hAnsi="仿宋" w:eastAsia="仿宋"/>
          <w:color w:val="000000"/>
          <w:szCs w:val="32"/>
        </w:rPr>
        <w:t>2023年一般公共预算“三公”经费、会议费和培训费</w:t>
      </w:r>
      <w:r>
        <w:rPr>
          <w:rFonts w:ascii="仿宋" w:hAnsi="仿宋" w:eastAsia="仿宋"/>
          <w:color w:val="000000"/>
          <w:szCs w:val="32"/>
        </w:rPr>
        <w:t>50.85</w:t>
      </w:r>
      <w:r>
        <w:rPr>
          <w:rFonts w:hint="eastAsia" w:ascii="仿宋" w:hAnsi="仿宋" w:eastAsia="仿宋"/>
          <w:color w:val="000000"/>
          <w:szCs w:val="32"/>
        </w:rPr>
        <w:t>万元，减少</w:t>
      </w:r>
      <w:r>
        <w:rPr>
          <w:rFonts w:ascii="仿宋" w:hAnsi="仿宋" w:eastAsia="仿宋"/>
          <w:color w:val="000000"/>
          <w:szCs w:val="32"/>
        </w:rPr>
        <w:t>22.15</w:t>
      </w:r>
      <w:r>
        <w:rPr>
          <w:rFonts w:hint="eastAsia" w:ascii="仿宋" w:hAnsi="仿宋" w:eastAsia="仿宋"/>
          <w:color w:val="000000"/>
          <w:szCs w:val="32"/>
        </w:rPr>
        <w:t>万元，下降</w:t>
      </w:r>
      <w:r>
        <w:rPr>
          <w:rFonts w:ascii="仿宋" w:hAnsi="仿宋" w:eastAsia="仿宋"/>
          <w:color w:val="000000"/>
          <w:szCs w:val="32"/>
        </w:rPr>
        <w:t>30.34</w:t>
      </w:r>
      <w:r>
        <w:rPr>
          <w:rFonts w:hint="eastAsia" w:ascii="仿宋" w:hAnsi="仿宋" w:eastAsia="仿宋"/>
          <w:color w:val="000000"/>
          <w:szCs w:val="32"/>
        </w:rPr>
        <w:t>％。其中：</w:t>
      </w:r>
    </w:p>
    <w:p>
      <w:pPr>
        <w:tabs>
          <w:tab w:val="center" w:pos="4475"/>
        </w:tabs>
        <w:spacing w:line="560" w:lineRule="exact"/>
        <w:ind w:firstLine="640" w:firstLineChars="200"/>
        <w:rPr>
          <w:rFonts w:hint="eastAsia" w:ascii="仿宋" w:hAnsi="仿宋" w:eastAsia="仿宋"/>
          <w:color w:val="000000"/>
          <w:szCs w:val="32"/>
        </w:rPr>
      </w:pPr>
      <w:r>
        <w:rPr>
          <w:rFonts w:hint="eastAsia" w:ascii="仿宋" w:hAnsi="仿宋" w:eastAsia="仿宋"/>
          <w:color w:val="000000"/>
          <w:szCs w:val="32"/>
        </w:rPr>
        <w:t>（1）“三公”经费</w:t>
      </w:r>
      <w:r>
        <w:rPr>
          <w:rFonts w:ascii="仿宋" w:hAnsi="仿宋" w:eastAsia="仿宋"/>
          <w:color w:val="000000"/>
          <w:szCs w:val="32"/>
        </w:rPr>
        <w:t>21.64</w:t>
      </w:r>
      <w:r>
        <w:rPr>
          <w:rFonts w:hint="eastAsia" w:ascii="仿宋" w:hAnsi="仿宋" w:eastAsia="仿宋"/>
          <w:color w:val="000000"/>
          <w:szCs w:val="32"/>
        </w:rPr>
        <w:t>万元，同比减少</w:t>
      </w:r>
      <w:r>
        <w:rPr>
          <w:rFonts w:ascii="仿宋" w:hAnsi="仿宋" w:eastAsia="仿宋"/>
          <w:color w:val="000000"/>
          <w:szCs w:val="32"/>
        </w:rPr>
        <w:t>16.85</w:t>
      </w:r>
      <w:r>
        <w:rPr>
          <w:rFonts w:hint="eastAsia" w:ascii="仿宋" w:hAnsi="仿宋" w:eastAsia="仿宋"/>
          <w:color w:val="000000"/>
          <w:szCs w:val="32"/>
        </w:rPr>
        <w:t>万元，下降</w:t>
      </w:r>
      <w:r>
        <w:rPr>
          <w:rFonts w:ascii="仿宋" w:hAnsi="仿宋" w:eastAsia="仿宋"/>
          <w:color w:val="000000"/>
          <w:szCs w:val="32"/>
        </w:rPr>
        <w:t>43.78</w:t>
      </w:r>
      <w:r>
        <w:rPr>
          <w:rFonts w:hint="eastAsia" w:ascii="仿宋" w:hAnsi="仿宋" w:eastAsia="仿宋"/>
          <w:color w:val="000000"/>
          <w:szCs w:val="32"/>
        </w:rPr>
        <w:t>％：</w:t>
      </w:r>
    </w:p>
    <w:p>
      <w:pPr>
        <w:tabs>
          <w:tab w:val="center" w:pos="4475"/>
        </w:tabs>
        <w:spacing w:line="560" w:lineRule="exact"/>
        <w:ind w:firstLine="640" w:firstLineChars="200"/>
        <w:rPr>
          <w:rFonts w:hint="eastAsia" w:ascii="仿宋" w:hAnsi="仿宋" w:eastAsia="仿宋"/>
          <w:color w:val="000000"/>
          <w:szCs w:val="32"/>
        </w:rPr>
      </w:pPr>
      <w:r>
        <w:rPr>
          <w:rFonts w:hint="eastAsia" w:ascii="仿宋" w:hAnsi="仿宋" w:eastAsia="仿宋"/>
          <w:color w:val="000000"/>
          <w:szCs w:val="32"/>
        </w:rPr>
        <w:t>因公出国（境）费0万元，同比减少</w:t>
      </w:r>
      <w:r>
        <w:rPr>
          <w:rFonts w:ascii="仿宋" w:hAnsi="仿宋" w:eastAsia="仿宋"/>
          <w:color w:val="000000"/>
          <w:szCs w:val="32"/>
        </w:rPr>
        <w:t>7</w:t>
      </w:r>
      <w:r>
        <w:rPr>
          <w:rFonts w:hint="eastAsia" w:ascii="仿宋" w:hAnsi="仿宋" w:eastAsia="仿宋"/>
          <w:color w:val="000000"/>
          <w:szCs w:val="32"/>
        </w:rPr>
        <w:t>万元，下降100％,增减变化原因根据2023年部门预算编制要求，因公出国（境）经费不编入年初预算。</w:t>
      </w:r>
    </w:p>
    <w:p>
      <w:pPr>
        <w:tabs>
          <w:tab w:val="center" w:pos="4475"/>
        </w:tabs>
        <w:spacing w:line="560" w:lineRule="exact"/>
        <w:ind w:firstLine="640" w:firstLineChars="200"/>
        <w:rPr>
          <w:rFonts w:ascii="仿宋" w:hAnsi="仿宋" w:eastAsia="仿宋"/>
          <w:color w:val="000000"/>
          <w:szCs w:val="32"/>
        </w:rPr>
      </w:pPr>
      <w:r>
        <w:rPr>
          <w:rFonts w:hint="eastAsia" w:ascii="仿宋" w:hAnsi="仿宋" w:eastAsia="仿宋"/>
          <w:color w:val="000000"/>
          <w:szCs w:val="32"/>
        </w:rPr>
        <w:t>公务用车购置及运行维护费</w:t>
      </w:r>
      <w:r>
        <w:rPr>
          <w:rFonts w:ascii="仿宋" w:hAnsi="仿宋" w:eastAsia="仿宋"/>
          <w:color w:val="000000"/>
          <w:szCs w:val="32"/>
        </w:rPr>
        <w:t>19.15</w:t>
      </w:r>
      <w:r>
        <w:rPr>
          <w:rFonts w:hint="eastAsia" w:ascii="仿宋" w:hAnsi="仿宋" w:eastAsia="仿宋"/>
          <w:color w:val="000000"/>
          <w:szCs w:val="32"/>
        </w:rPr>
        <w:t>万元，同比减少</w:t>
      </w:r>
      <w:r>
        <w:rPr>
          <w:rFonts w:ascii="仿宋" w:hAnsi="仿宋" w:eastAsia="仿宋"/>
          <w:color w:val="000000"/>
          <w:szCs w:val="32"/>
        </w:rPr>
        <w:t>9.34</w:t>
      </w:r>
      <w:r>
        <w:rPr>
          <w:rFonts w:hint="eastAsia" w:ascii="仿宋" w:hAnsi="仿宋" w:eastAsia="仿宋"/>
          <w:color w:val="000000"/>
          <w:szCs w:val="32"/>
        </w:rPr>
        <w:t>万元，下降</w:t>
      </w:r>
      <w:r>
        <w:rPr>
          <w:rFonts w:ascii="仿宋" w:hAnsi="仿宋" w:eastAsia="仿宋"/>
          <w:color w:val="000000"/>
          <w:szCs w:val="32"/>
        </w:rPr>
        <w:t>32.78</w:t>
      </w:r>
      <w:r>
        <w:rPr>
          <w:rFonts w:hint="eastAsia" w:ascii="仿宋" w:hAnsi="仿宋" w:eastAsia="仿宋"/>
          <w:color w:val="000000"/>
          <w:szCs w:val="32"/>
        </w:rPr>
        <w:t>％。其中：公务用车购置费0万元，主要原因是2023年该中心无公务用车配备更新计划；公务用车运行维护费</w:t>
      </w:r>
      <w:r>
        <w:rPr>
          <w:rFonts w:ascii="仿宋" w:hAnsi="仿宋" w:eastAsia="仿宋"/>
          <w:color w:val="000000"/>
          <w:szCs w:val="32"/>
        </w:rPr>
        <w:t>19.15</w:t>
      </w:r>
      <w:r>
        <w:rPr>
          <w:rFonts w:hint="eastAsia" w:ascii="仿宋" w:hAnsi="仿宋" w:eastAsia="仿宋"/>
          <w:color w:val="000000"/>
          <w:szCs w:val="32"/>
        </w:rPr>
        <w:t>万元，同比减少</w:t>
      </w:r>
      <w:r>
        <w:rPr>
          <w:rFonts w:ascii="仿宋" w:hAnsi="仿宋" w:eastAsia="仿宋"/>
          <w:color w:val="000000"/>
          <w:szCs w:val="32"/>
        </w:rPr>
        <w:t>9.34</w:t>
      </w:r>
      <w:r>
        <w:rPr>
          <w:rFonts w:hint="eastAsia" w:ascii="仿宋" w:hAnsi="仿宋" w:eastAsia="仿宋"/>
          <w:color w:val="000000"/>
          <w:szCs w:val="32"/>
        </w:rPr>
        <w:t>万元，下降</w:t>
      </w:r>
      <w:r>
        <w:rPr>
          <w:rFonts w:ascii="仿宋" w:hAnsi="仿宋" w:eastAsia="仿宋"/>
          <w:color w:val="000000"/>
          <w:szCs w:val="32"/>
        </w:rPr>
        <w:t>32.78</w:t>
      </w:r>
      <w:r>
        <w:rPr>
          <w:rFonts w:hint="eastAsia" w:ascii="仿宋" w:hAnsi="仿宋" w:eastAsia="仿宋"/>
          <w:color w:val="000000"/>
          <w:szCs w:val="32"/>
        </w:rPr>
        <w:t>%，下降主要原因是单位公务车辆</w:t>
      </w:r>
      <w:r>
        <w:rPr>
          <w:rFonts w:ascii="仿宋" w:hAnsi="仿宋" w:eastAsia="仿宋"/>
          <w:color w:val="000000"/>
          <w:szCs w:val="32"/>
        </w:rPr>
        <w:t>数</w:t>
      </w:r>
      <w:r>
        <w:rPr>
          <w:rFonts w:hint="eastAsia" w:ascii="仿宋" w:hAnsi="仿宋" w:eastAsia="仿宋"/>
          <w:color w:val="000000"/>
          <w:szCs w:val="32"/>
        </w:rPr>
        <w:t>减少。</w:t>
      </w:r>
    </w:p>
    <w:p>
      <w:pPr>
        <w:tabs>
          <w:tab w:val="center" w:pos="4475"/>
        </w:tabs>
        <w:spacing w:line="560" w:lineRule="exact"/>
        <w:ind w:firstLine="640" w:firstLineChars="200"/>
        <w:rPr>
          <w:rFonts w:ascii="仿宋" w:hAnsi="仿宋" w:eastAsia="仿宋"/>
          <w:color w:val="000000"/>
          <w:szCs w:val="32"/>
        </w:rPr>
      </w:pPr>
      <w:r>
        <w:rPr>
          <w:rFonts w:hint="eastAsia" w:ascii="仿宋" w:hAnsi="仿宋" w:eastAsia="仿宋"/>
          <w:color w:val="000000"/>
          <w:szCs w:val="32"/>
        </w:rPr>
        <w:t>公务接待费</w:t>
      </w:r>
      <w:r>
        <w:rPr>
          <w:rFonts w:ascii="仿宋" w:hAnsi="仿宋" w:eastAsia="仿宋"/>
          <w:color w:val="000000"/>
          <w:szCs w:val="32"/>
        </w:rPr>
        <w:t>2.49</w:t>
      </w:r>
      <w:r>
        <w:rPr>
          <w:rFonts w:hint="eastAsia" w:ascii="仿宋" w:hAnsi="仿宋" w:eastAsia="仿宋"/>
          <w:color w:val="000000"/>
          <w:szCs w:val="32"/>
        </w:rPr>
        <w:t>万元，同比减少</w:t>
      </w:r>
      <w:r>
        <w:rPr>
          <w:rFonts w:ascii="仿宋" w:hAnsi="仿宋" w:eastAsia="仿宋"/>
          <w:color w:val="000000"/>
          <w:szCs w:val="32"/>
        </w:rPr>
        <w:t>0.51</w:t>
      </w:r>
      <w:r>
        <w:rPr>
          <w:rFonts w:hint="eastAsia" w:ascii="仿宋" w:hAnsi="仿宋" w:eastAsia="仿宋"/>
          <w:color w:val="000000"/>
          <w:szCs w:val="32"/>
        </w:rPr>
        <w:t>万元，下降</w:t>
      </w:r>
      <w:r>
        <w:rPr>
          <w:rFonts w:ascii="仿宋" w:hAnsi="仿宋" w:eastAsia="仿宋"/>
          <w:color w:val="000000"/>
          <w:szCs w:val="32"/>
        </w:rPr>
        <w:t>17.00</w:t>
      </w:r>
      <w:r>
        <w:rPr>
          <w:rFonts w:hint="eastAsia" w:ascii="仿宋" w:hAnsi="仿宋" w:eastAsia="仿宋"/>
          <w:color w:val="000000"/>
          <w:szCs w:val="32"/>
        </w:rPr>
        <w:t>％；下降的主要原因是公务接待计划减少；</w:t>
      </w:r>
    </w:p>
    <w:p>
      <w:pPr>
        <w:tabs>
          <w:tab w:val="center" w:pos="4475"/>
        </w:tabs>
        <w:spacing w:line="560" w:lineRule="exact"/>
        <w:ind w:firstLine="640" w:firstLineChars="200"/>
        <w:rPr>
          <w:rFonts w:hint="eastAsia" w:ascii="仿宋" w:hAnsi="仿宋" w:eastAsia="仿宋"/>
          <w:color w:val="000000"/>
          <w:szCs w:val="32"/>
        </w:rPr>
      </w:pPr>
      <w:r>
        <w:rPr>
          <w:rFonts w:hint="eastAsia" w:ascii="仿宋" w:hAnsi="仿宋" w:eastAsia="仿宋"/>
          <w:color w:val="000000"/>
          <w:szCs w:val="32"/>
        </w:rPr>
        <w:t>（2）会议费</w:t>
      </w:r>
      <w:r>
        <w:rPr>
          <w:rFonts w:ascii="仿宋" w:hAnsi="仿宋" w:eastAsia="仿宋"/>
          <w:color w:val="000000"/>
          <w:szCs w:val="32"/>
        </w:rPr>
        <w:t>11.14</w:t>
      </w:r>
      <w:r>
        <w:rPr>
          <w:rFonts w:hint="eastAsia" w:ascii="仿宋" w:hAnsi="仿宋" w:eastAsia="仿宋"/>
          <w:color w:val="000000"/>
          <w:szCs w:val="32"/>
        </w:rPr>
        <w:t>万元，同比减少</w:t>
      </w:r>
      <w:r>
        <w:rPr>
          <w:rFonts w:ascii="仿宋" w:hAnsi="仿宋" w:eastAsia="仿宋"/>
          <w:color w:val="000000"/>
          <w:szCs w:val="32"/>
        </w:rPr>
        <w:t>3.86</w:t>
      </w:r>
      <w:r>
        <w:rPr>
          <w:rFonts w:hint="eastAsia" w:ascii="仿宋" w:hAnsi="仿宋" w:eastAsia="仿宋"/>
          <w:color w:val="000000"/>
          <w:szCs w:val="32"/>
        </w:rPr>
        <w:t>万元，下降</w:t>
      </w:r>
      <w:r>
        <w:rPr>
          <w:rFonts w:ascii="仿宋" w:hAnsi="仿宋" w:eastAsia="仿宋"/>
          <w:color w:val="000000"/>
          <w:szCs w:val="32"/>
        </w:rPr>
        <w:t>25.73</w:t>
      </w:r>
      <w:r>
        <w:rPr>
          <w:rFonts w:hint="eastAsia" w:ascii="仿宋" w:hAnsi="仿宋" w:eastAsia="仿宋"/>
          <w:color w:val="000000"/>
          <w:szCs w:val="32"/>
        </w:rPr>
        <w:t>％；下降的主要原因是公务接待计划减少；</w:t>
      </w:r>
    </w:p>
    <w:p>
      <w:pPr>
        <w:tabs>
          <w:tab w:val="center" w:pos="4475"/>
        </w:tabs>
        <w:spacing w:line="560" w:lineRule="exact"/>
        <w:ind w:firstLine="640" w:firstLineChars="200"/>
        <w:rPr>
          <w:rFonts w:ascii="仿宋" w:hAnsi="仿宋" w:eastAsia="仿宋"/>
          <w:color w:val="000000"/>
          <w:szCs w:val="32"/>
        </w:rPr>
      </w:pPr>
      <w:r>
        <w:rPr>
          <w:rFonts w:hint="eastAsia" w:ascii="仿宋" w:hAnsi="仿宋" w:eastAsia="仿宋"/>
          <w:color w:val="000000"/>
          <w:szCs w:val="32"/>
        </w:rPr>
        <w:t>（3）培训费18.07万元，同比减少</w:t>
      </w:r>
      <w:r>
        <w:rPr>
          <w:rFonts w:ascii="仿宋" w:hAnsi="仿宋" w:eastAsia="仿宋"/>
          <w:color w:val="000000"/>
          <w:szCs w:val="32"/>
        </w:rPr>
        <w:t>1.44</w:t>
      </w:r>
      <w:r>
        <w:rPr>
          <w:rFonts w:hint="eastAsia" w:ascii="仿宋" w:hAnsi="仿宋" w:eastAsia="仿宋"/>
          <w:color w:val="000000"/>
          <w:szCs w:val="32"/>
        </w:rPr>
        <w:t>万元，下降</w:t>
      </w:r>
      <w:r>
        <w:rPr>
          <w:rFonts w:ascii="仿宋" w:hAnsi="仿宋" w:eastAsia="仿宋"/>
          <w:color w:val="000000"/>
          <w:szCs w:val="32"/>
        </w:rPr>
        <w:t>7.38</w:t>
      </w:r>
      <w:r>
        <w:rPr>
          <w:rFonts w:hint="eastAsia" w:ascii="仿宋" w:hAnsi="仿宋" w:eastAsia="仿宋"/>
          <w:color w:val="000000"/>
          <w:szCs w:val="32"/>
        </w:rPr>
        <w:t>％；下降的主要原因是2023年在职在编人员减少。</w:t>
      </w:r>
    </w:p>
    <w:p>
      <w:pPr>
        <w:tabs>
          <w:tab w:val="center" w:pos="4475"/>
        </w:tabs>
        <w:spacing w:line="560" w:lineRule="exact"/>
        <w:ind w:firstLine="643" w:firstLineChars="200"/>
        <w:rPr>
          <w:rFonts w:hint="eastAsia" w:ascii="仿宋" w:hAnsi="仿宋" w:eastAsia="仿宋"/>
          <w:b/>
          <w:bCs/>
          <w:szCs w:val="32"/>
        </w:rPr>
      </w:pPr>
      <w:r>
        <w:rPr>
          <w:rFonts w:hint="eastAsia" w:ascii="仿宋" w:hAnsi="仿宋" w:eastAsia="仿宋"/>
          <w:b/>
          <w:bCs/>
          <w:szCs w:val="32"/>
        </w:rPr>
        <w:t>八、政府性基金预算支出预算情况说</w:t>
      </w:r>
      <w:r>
        <w:rPr>
          <w:rFonts w:ascii="仿宋" w:hAnsi="仿宋" w:eastAsia="仿宋"/>
          <w:b/>
          <w:bCs/>
          <w:szCs w:val="32"/>
        </w:rPr>
        <w:t>明</w:t>
      </w:r>
    </w:p>
    <w:p>
      <w:pPr>
        <w:tabs>
          <w:tab w:val="center" w:pos="4475"/>
        </w:tabs>
        <w:spacing w:line="570" w:lineRule="exact"/>
        <w:ind w:firstLine="645"/>
        <w:rPr>
          <w:rFonts w:hint="eastAsia" w:ascii="仿宋" w:hAnsi="仿宋" w:eastAsia="仿宋"/>
          <w:color w:val="000000"/>
          <w:szCs w:val="32"/>
        </w:rPr>
      </w:pPr>
      <w:r>
        <w:rPr>
          <w:rFonts w:hint="eastAsia" w:ascii="仿宋" w:hAnsi="仿宋" w:eastAsia="仿宋"/>
          <w:color w:val="000000"/>
          <w:szCs w:val="32"/>
        </w:rPr>
        <w:t>无</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九、其他重要事项情况说明</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（一）机关运行经费安排情况说明</w:t>
      </w:r>
    </w:p>
    <w:p>
      <w:pPr>
        <w:tabs>
          <w:tab w:val="center" w:pos="4475"/>
        </w:tabs>
        <w:spacing w:line="560" w:lineRule="exact"/>
        <w:ind w:firstLine="640" w:firstLineChars="200"/>
        <w:rPr>
          <w:rFonts w:hint="eastAsia" w:ascii="仿宋" w:hAnsi="仿宋" w:eastAsia="仿宋"/>
          <w:color w:val="000000"/>
          <w:szCs w:val="32"/>
        </w:rPr>
      </w:pPr>
      <w:r>
        <w:rPr>
          <w:rFonts w:hint="eastAsia" w:ascii="仿宋_GB2312" w:hAnsi="仿宋_GB2312" w:cs="仿宋_GB2312"/>
          <w:szCs w:val="32"/>
        </w:rPr>
        <w:t>我中</w:t>
      </w:r>
      <w:r>
        <w:rPr>
          <w:rFonts w:ascii="仿宋_GB2312" w:hAnsi="仿宋_GB2312" w:cs="仿宋_GB2312"/>
          <w:szCs w:val="32"/>
        </w:rPr>
        <w:t>心</w:t>
      </w:r>
      <w:r>
        <w:rPr>
          <w:rFonts w:hint="eastAsia" w:ascii="仿宋_GB2312" w:hAnsi="仿宋_GB2312" w:cs="仿宋_GB2312"/>
          <w:szCs w:val="32"/>
        </w:rPr>
        <w:t>2023年事</w:t>
      </w:r>
      <w:r>
        <w:rPr>
          <w:rFonts w:ascii="仿宋_GB2312" w:hAnsi="仿宋_GB2312" w:cs="仿宋_GB2312"/>
          <w:szCs w:val="32"/>
        </w:rPr>
        <w:t>业单位</w:t>
      </w:r>
      <w:r>
        <w:rPr>
          <w:rFonts w:hint="eastAsia" w:ascii="仿宋_GB2312" w:hAnsi="仿宋_GB2312" w:cs="仿宋_GB2312"/>
          <w:szCs w:val="32"/>
          <w:lang w:eastAsia="zh-CN"/>
        </w:rPr>
        <w:t>机</w:t>
      </w:r>
      <w:r>
        <w:rPr>
          <w:rFonts w:ascii="仿宋_GB2312" w:hAnsi="仿宋_GB2312" w:cs="仿宋_GB2312"/>
          <w:szCs w:val="32"/>
        </w:rPr>
        <w:t>关</w:t>
      </w:r>
      <w:r>
        <w:rPr>
          <w:rFonts w:hint="eastAsia" w:ascii="仿宋_GB2312" w:hAnsi="仿宋_GB2312" w:cs="仿宋_GB2312"/>
          <w:szCs w:val="32"/>
        </w:rPr>
        <w:t>运行经费</w:t>
      </w:r>
      <w:r>
        <w:rPr>
          <w:rFonts w:hint="eastAsia" w:ascii="仿宋_GB2312" w:hAnsi="仿宋_GB2312" w:cs="仿宋_GB2312"/>
          <w:szCs w:val="32"/>
          <w:lang w:val="en-US" w:eastAsia="zh-CN"/>
        </w:rPr>
        <w:t>118.11</w:t>
      </w:r>
      <w:r>
        <w:rPr>
          <w:rFonts w:hint="eastAsia" w:ascii="仿宋_GB2312" w:hAnsi="仿宋_GB2312" w:cs="仿宋_GB2312"/>
          <w:szCs w:val="32"/>
        </w:rPr>
        <w:t>万元，同比减少</w:t>
      </w:r>
      <w:r>
        <w:rPr>
          <w:rFonts w:ascii="仿宋_GB2312" w:hAnsi="仿宋_GB2312" w:cs="仿宋_GB2312"/>
          <w:szCs w:val="32"/>
        </w:rPr>
        <w:t>70.69</w:t>
      </w:r>
      <w:r>
        <w:rPr>
          <w:rFonts w:hint="eastAsia" w:ascii="仿宋_GB2312" w:hAnsi="仿宋_GB2312" w:cs="仿宋_GB2312"/>
          <w:szCs w:val="32"/>
        </w:rPr>
        <w:t>万元，下降</w:t>
      </w:r>
      <w:r>
        <w:rPr>
          <w:rFonts w:ascii="仿宋_GB2312" w:hAnsi="仿宋_GB2312" w:cs="仿宋_GB2312"/>
          <w:szCs w:val="32"/>
        </w:rPr>
        <w:t>37.44</w:t>
      </w:r>
      <w:r>
        <w:rPr>
          <w:rFonts w:hint="eastAsia" w:ascii="仿宋_GB2312" w:hAnsi="仿宋_GB2312" w:cs="仿宋_GB2312"/>
          <w:szCs w:val="32"/>
        </w:rPr>
        <w:t>％，下降的主要原因是2023年在职在编人员减少而</w:t>
      </w:r>
      <w:r>
        <w:rPr>
          <w:rFonts w:ascii="仿宋_GB2312" w:hAnsi="仿宋_GB2312" w:cs="仿宋_GB2312"/>
          <w:szCs w:val="32"/>
        </w:rPr>
        <w:t>减少</w:t>
      </w:r>
      <w:r>
        <w:rPr>
          <w:rFonts w:hint="eastAsia" w:ascii="仿宋_GB2312" w:hAnsi="仿宋_GB2312" w:cs="仿宋_GB2312"/>
          <w:szCs w:val="32"/>
        </w:rPr>
        <w:t>的定额公用经费。</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（二）政府采购预算安排情况说明</w:t>
      </w:r>
    </w:p>
    <w:p>
      <w:pPr>
        <w:spacing w:line="570" w:lineRule="exact"/>
        <w:ind w:firstLine="640" w:firstLineChars="200"/>
        <w:rPr>
          <w:rFonts w:hint="eastAsia" w:ascii="仿宋" w:hAnsi="仿宋" w:eastAsia="仿宋"/>
          <w:color w:val="000000"/>
          <w:szCs w:val="32"/>
        </w:rPr>
      </w:pPr>
      <w:r>
        <w:rPr>
          <w:rFonts w:hint="eastAsia" w:ascii="仿宋" w:hAnsi="仿宋" w:eastAsia="仿宋"/>
          <w:color w:val="000000"/>
          <w:szCs w:val="32"/>
        </w:rPr>
        <w:t>2023年政府采购预算712.79万元，同比增加80.15万元，增长12.67%，变动的主要原因一是根据《广西壮族自治区财政厅关于调整广西政府采购项目公开招标数额和分散采购限额标准的通知》（桂财采〔2021〕61号）文件内容，招标采购限额调整；二是由于机构改革，友谊关口岸国际道路运输管理处、东兴口岸国际道路运输管理处整建制划入自治区交通运输综合行政执法局；三是新增广西道路运输预警研判大数据平台项目、广西冷链道路运输电子运单系统建设项目、广西驾驶业务“扫脸即办”“微改革”项目等。</w:t>
      </w:r>
    </w:p>
    <w:p>
      <w:pPr>
        <w:spacing w:line="570" w:lineRule="exact"/>
        <w:ind w:firstLine="640" w:firstLineChars="200"/>
        <w:rPr>
          <w:rFonts w:hint="eastAsia" w:ascii="仿宋" w:hAnsi="仿宋" w:eastAsia="仿宋"/>
          <w:color w:val="000000"/>
          <w:szCs w:val="32"/>
        </w:rPr>
      </w:pPr>
      <w:r>
        <w:rPr>
          <w:rFonts w:hint="eastAsia" w:ascii="仿宋" w:hAnsi="仿宋" w:eastAsia="仿宋"/>
          <w:color w:val="000000"/>
          <w:szCs w:val="32"/>
        </w:rPr>
        <w:t>政府集中采购预算166.04万元，占政府采购预算23.29%，同比减少6.45万元，下降3.74%；</w:t>
      </w:r>
    </w:p>
    <w:p>
      <w:pPr>
        <w:spacing w:line="570" w:lineRule="exact"/>
        <w:ind w:firstLine="640" w:firstLineChars="200"/>
        <w:rPr>
          <w:rFonts w:hint="eastAsia" w:ascii="仿宋" w:hAnsi="仿宋" w:eastAsia="仿宋"/>
          <w:color w:val="000000"/>
          <w:szCs w:val="32"/>
        </w:rPr>
      </w:pPr>
      <w:r>
        <w:rPr>
          <w:rFonts w:hint="eastAsia" w:ascii="仿宋" w:hAnsi="仿宋" w:eastAsia="仿宋"/>
          <w:color w:val="000000"/>
          <w:szCs w:val="32"/>
        </w:rPr>
        <w:t>分散采购预算546.75万元，占政府采购预算76.71%，同比增加86.60万元，增长18.82%。</w:t>
      </w:r>
    </w:p>
    <w:p>
      <w:pPr>
        <w:spacing w:line="570" w:lineRule="exact"/>
        <w:ind w:firstLine="640" w:firstLineChars="200"/>
        <w:rPr>
          <w:rFonts w:hint="eastAsia" w:ascii="仿宋" w:hAnsi="仿宋" w:eastAsia="仿宋"/>
          <w:color w:val="000000"/>
          <w:szCs w:val="32"/>
        </w:rPr>
      </w:pPr>
      <w:r>
        <w:rPr>
          <w:rFonts w:hint="eastAsia" w:ascii="仿宋" w:hAnsi="仿宋" w:eastAsia="仿宋"/>
          <w:color w:val="000000"/>
          <w:szCs w:val="32"/>
        </w:rPr>
        <w:t>货物采购22万元，占政府采购预算3.09%；</w:t>
      </w:r>
    </w:p>
    <w:p>
      <w:pPr>
        <w:spacing w:line="570" w:lineRule="exact"/>
        <w:ind w:firstLine="640" w:firstLineChars="200"/>
        <w:rPr>
          <w:rFonts w:hint="eastAsia" w:ascii="仿宋" w:hAnsi="仿宋" w:eastAsia="仿宋"/>
          <w:color w:val="000000"/>
          <w:szCs w:val="32"/>
        </w:rPr>
      </w:pPr>
      <w:r>
        <w:rPr>
          <w:rFonts w:hint="eastAsia" w:ascii="仿宋" w:hAnsi="仿宋" w:eastAsia="仿宋"/>
          <w:color w:val="000000"/>
          <w:szCs w:val="32"/>
        </w:rPr>
        <w:t>工程采购0万元，占政府采购预算0%；</w:t>
      </w:r>
    </w:p>
    <w:p>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服务采购690.79万元，占政府采购预算96.91%。</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（三）国有资产占用情况说明</w:t>
      </w:r>
    </w:p>
    <w:p>
      <w:pPr>
        <w:spacing w:line="570" w:lineRule="exact"/>
        <w:ind w:firstLine="641"/>
        <w:rPr>
          <w:rFonts w:hint="eastAsia" w:ascii="仿宋" w:hAnsi="仿宋" w:eastAsia="仿宋"/>
          <w:color w:val="000000"/>
          <w:szCs w:val="32"/>
        </w:rPr>
      </w:pPr>
      <w:r>
        <w:rPr>
          <w:rFonts w:hint="eastAsia" w:ascii="仿宋" w:hAnsi="仿宋" w:eastAsia="仿宋"/>
          <w:color w:val="000000"/>
          <w:szCs w:val="32"/>
        </w:rPr>
        <w:t>纳入202</w:t>
      </w:r>
      <w:r>
        <w:rPr>
          <w:rFonts w:ascii="仿宋" w:hAnsi="仿宋" w:eastAsia="仿宋"/>
          <w:color w:val="000000"/>
          <w:szCs w:val="32"/>
        </w:rPr>
        <w:t>3</w:t>
      </w:r>
      <w:r>
        <w:rPr>
          <w:rFonts w:hint="eastAsia" w:ascii="仿宋" w:hAnsi="仿宋" w:eastAsia="仿宋"/>
          <w:color w:val="000000"/>
          <w:szCs w:val="32"/>
        </w:rPr>
        <w:t>年自治区道路运输发展中心部门预算车辆编制</w:t>
      </w:r>
      <w:r>
        <w:rPr>
          <w:rFonts w:ascii="仿宋" w:hAnsi="仿宋" w:eastAsia="仿宋"/>
          <w:color w:val="000000"/>
          <w:szCs w:val="32"/>
        </w:rPr>
        <w:t>6</w:t>
      </w:r>
      <w:r>
        <w:rPr>
          <w:rFonts w:hint="eastAsia" w:ascii="仿宋" w:hAnsi="仿宋" w:eastAsia="仿宋"/>
          <w:color w:val="000000"/>
          <w:szCs w:val="32"/>
        </w:rPr>
        <w:t>辆，实有车辆</w:t>
      </w:r>
      <w:r>
        <w:rPr>
          <w:rFonts w:ascii="仿宋" w:hAnsi="仿宋" w:eastAsia="仿宋"/>
          <w:color w:val="000000"/>
          <w:szCs w:val="32"/>
        </w:rPr>
        <w:t>6</w:t>
      </w:r>
      <w:r>
        <w:rPr>
          <w:rFonts w:hint="eastAsia" w:ascii="仿宋" w:hAnsi="仿宋" w:eastAsia="仿宋"/>
          <w:color w:val="000000"/>
          <w:szCs w:val="32"/>
        </w:rPr>
        <w:t>辆，其中：一般业务用车</w:t>
      </w:r>
      <w:r>
        <w:rPr>
          <w:rFonts w:ascii="仿宋" w:hAnsi="仿宋" w:eastAsia="仿宋"/>
          <w:color w:val="000000"/>
          <w:szCs w:val="32"/>
        </w:rPr>
        <w:t>4</w:t>
      </w:r>
      <w:r>
        <w:rPr>
          <w:rFonts w:hint="eastAsia" w:ascii="仿宋" w:hAnsi="仿宋" w:eastAsia="仿宋"/>
          <w:color w:val="000000"/>
          <w:szCs w:val="32"/>
        </w:rPr>
        <w:t>辆、离退休人员生活用车2辆。按照车辆类型分类，实有轿车</w:t>
      </w:r>
      <w:r>
        <w:rPr>
          <w:rFonts w:ascii="仿宋" w:hAnsi="仿宋" w:eastAsia="仿宋"/>
          <w:color w:val="000000"/>
          <w:szCs w:val="32"/>
        </w:rPr>
        <w:t>5</w:t>
      </w:r>
      <w:r>
        <w:rPr>
          <w:rFonts w:hint="eastAsia" w:ascii="仿宋" w:hAnsi="仿宋" w:eastAsia="仿宋"/>
          <w:color w:val="000000"/>
          <w:szCs w:val="32"/>
        </w:rPr>
        <w:t>辆、旅行越野车</w:t>
      </w:r>
      <w:r>
        <w:rPr>
          <w:rFonts w:ascii="仿宋" w:hAnsi="仿宋" w:eastAsia="仿宋"/>
          <w:color w:val="000000"/>
          <w:szCs w:val="32"/>
        </w:rPr>
        <w:t>1</w:t>
      </w:r>
      <w:r>
        <w:rPr>
          <w:rFonts w:hint="eastAsia" w:ascii="仿宋" w:hAnsi="仿宋" w:eastAsia="仿宋"/>
          <w:color w:val="000000"/>
          <w:szCs w:val="32"/>
        </w:rPr>
        <w:t>辆。</w:t>
      </w:r>
    </w:p>
    <w:p>
      <w:pPr>
        <w:tabs>
          <w:tab w:val="center" w:pos="4475"/>
        </w:tabs>
        <w:spacing w:line="560" w:lineRule="exact"/>
        <w:ind w:firstLine="482" w:firstLineChars="150"/>
        <w:rPr>
          <w:rFonts w:hint="eastAsia" w:ascii="黑体" w:eastAsia="黑体"/>
          <w:szCs w:val="32"/>
        </w:rPr>
      </w:pPr>
      <w:r>
        <w:rPr>
          <w:rFonts w:hint="eastAsia" w:ascii="仿宋" w:hAnsi="仿宋" w:eastAsia="仿宋"/>
          <w:b/>
          <w:bCs/>
          <w:szCs w:val="32"/>
        </w:rPr>
        <w:t>（四）重点项目预算绩效目标等情况说明（详见预算公开10表）</w:t>
      </w:r>
    </w:p>
    <w:p>
      <w:pPr>
        <w:tabs>
          <w:tab w:val="center" w:pos="4475"/>
        </w:tabs>
        <w:spacing w:line="600" w:lineRule="exact"/>
        <w:ind w:firstLine="645"/>
        <w:rPr>
          <w:rFonts w:hint="eastAsia" w:ascii="黑体" w:eastAsia="黑体"/>
          <w:szCs w:val="32"/>
        </w:rPr>
      </w:pP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第三部分：名词解释</w:t>
      </w:r>
    </w:p>
    <w:p>
      <w:pPr>
        <w:tabs>
          <w:tab w:val="center" w:pos="4475"/>
        </w:tabs>
        <w:spacing w:line="560" w:lineRule="exact"/>
        <w:ind w:firstLine="643" w:firstLineChars="200"/>
        <w:rPr>
          <w:rFonts w:hint="eastAsia" w:ascii="仿宋" w:hAnsi="仿宋" w:eastAsia="仿宋"/>
          <w:b/>
          <w:bCs/>
          <w:szCs w:val="32"/>
        </w:rPr>
      </w:pPr>
      <w:r>
        <w:rPr>
          <w:rFonts w:hint="eastAsia" w:ascii="仿宋" w:hAnsi="仿宋" w:eastAsia="仿宋"/>
          <w:b/>
          <w:bCs/>
          <w:szCs w:val="32"/>
        </w:rPr>
        <w:t>一、收入科目</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1、财政拨款收入：指自治区财政部门当年拨付的资金。</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2、事业收入：指事业单位开展专业业务活动及辅助活动所取得的收入。</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3、经营收入：指事业单位在专业业务活动及其辅助活动之外开展非独立核算经营活动取得的收入。</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4、其他收入：指除上述“财政拨款收入”、“事业收入”、“经营收入”等以外的收入。</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6、年初结转和结余：指以前年度尚未完成、结转到本年度按有关规定继续使用的资金。</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7、结余分配：指事业单位按规定提取的职工福利基金、事业基金和缴纳的所得税，以及建设单位按规定应交回的基本建设竣工项目结余资金。</w:t>
      </w:r>
    </w:p>
    <w:p>
      <w:pPr>
        <w:tabs>
          <w:tab w:val="center" w:pos="4475"/>
        </w:tabs>
        <w:spacing w:line="560" w:lineRule="exact"/>
        <w:ind w:firstLine="640" w:firstLineChars="200"/>
        <w:rPr>
          <w:rFonts w:hint="eastAsia" w:ascii="仿宋_GB2312" w:hAnsi="宋体"/>
          <w:szCs w:val="32"/>
        </w:rPr>
      </w:pPr>
      <w:r>
        <w:rPr>
          <w:rFonts w:hint="eastAsia" w:ascii="仿宋" w:hAnsi="仿宋" w:eastAsia="仿宋"/>
          <w:szCs w:val="32"/>
        </w:rPr>
        <w:t>8、年末结转和结余：指本年度或以前年度预算安排、因客观条件发生变化无法按原计划实施，需要延迟到以后年度按有关规定继续使用的资金。</w:t>
      </w:r>
    </w:p>
    <w:p>
      <w:pPr>
        <w:tabs>
          <w:tab w:val="center" w:pos="4475"/>
        </w:tabs>
        <w:spacing w:line="560" w:lineRule="exact"/>
        <w:ind w:firstLine="643" w:firstLineChars="200"/>
        <w:rPr>
          <w:rFonts w:hint="eastAsia" w:ascii="仿宋" w:hAnsi="仿宋" w:eastAsia="仿宋"/>
          <w:b/>
          <w:bCs/>
          <w:szCs w:val="32"/>
        </w:rPr>
      </w:pPr>
      <w:r>
        <w:rPr>
          <w:rFonts w:hint="eastAsia" w:ascii="仿宋" w:hAnsi="仿宋" w:eastAsia="仿宋"/>
          <w:b/>
          <w:bCs/>
          <w:szCs w:val="32"/>
        </w:rPr>
        <w:t>二、支出科目</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1、基本支出：指为保障机构正常运转、完成日常工作任务而发生的人员支出和公用支出。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2、项目支出：指在基本支出之外为完成特定行政任务和事业发展目标所发生的支出。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3、工资福利支出：反映单位开支的在职职工和编制外长期聘用人员的各类劳动报酬，以及为上述人员缴纳的各项社会保险费等。</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4、商品服务支出：反映单位购买商品和服务的支出，不包括用于购置固定资产、战略性和应急性物资储备等资本性支出。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5、对个人和家庭的补助：反映政府用于对个人和家庭的补助支出。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6、教育支出（类）职业教育（款）：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（1）中等职业教育（项）：反映各部门（不含人力资源社会保障部门）举办的中等职业学校支出。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（2）技校教育（项）：反映交通部门举办的技工学校支出。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（3）高等职业教育（项）：反映经国家批准设立的高等职业大学、专科职业教育等方面的支出。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7、社会保障和就业支出（类）行政事业单位养老支出（款）：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（1）行政单位离退休（项）：反映行政单位（包括实行公务员管理的事业单位）开支的离退休经费。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（2）事业单位离退休（项）：反映事业单位开支的离退休经费。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（3）机关事业单位基本养老保险缴费支出（项）：反映机关事业单位实施养老保险制度由单位缴纳的基本养老保险费支出。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（4）机关事业单位职业年金缴费支出（项）：反映机关事业单位实施养老保险制度由单位实际缴纳的职业年金支出。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8、社会保障和就业支出（类）其他社会保障和就业支出（款）：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其他社会保障和就业支出（项）：反映除上述项目以外其他用于社会保障和就业方面的支出。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9、卫生健康支出（类）行政事业单位医疗（款）：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行政单位医疗（项）：反映财政部门安排的行政单位（包括实行公务员管理的事业单位）基本医疗保险缴费经费，未参加医疗保险的行政单位的公费医疗经费，按国家规定享受离休人员、红军老战士待遇人员的医疗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（2）事业单位医疗（项）：反映财政部门集中安排的事业单位基本医疗保险缴费经费，未参加医疗保险的事业单位的公费医疗经费，按国家规定享受离休人员待遇的医疗经费。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（3）公务员医疗补助（项）：反映财政部门安排的公务员医疗补助经费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10、交通运输支出（类）公路水路运输（款）：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（1）行政运行（公路水路运输）（项）：反映行政单位（包括实行公务员管理的事业单位）的基本支出。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（2）一般行政管理事务（公路水路运输）（项）：反映行政单位（包括实行公务员管理的事业单位）未单独设置项级科目的其他项目支出。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机关服务（公路水路运输）（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（4）公路养护（公路水路运输）（项）：反映公路养护支出。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（5）公路运输管理（项）：反映公路运输管理支出和公路路政管理支出。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（6）航道维护（项）：反映内河航道整治、维护方面的支出。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（7）船舶检验（项）：反映船舶检验方面的支出。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（8）水路运输管理支出（项）：反映水路运输管理方面的支出。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（9）其他公路水路运输支出（项）：反映除上述项目以外其他用于公路水路运输方面的支出。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11、交通运输支出（类）车辆购置税支出（款）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（1）车辆购置税用于公路等基础设施建设支出（项）：反映车辆购置税收入安排用于公路等基础设施建设的支出。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12、交通运输支出（类）车辆通行费安排的支出（款）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（1）政府还贷公路养护（项）：反映车辆通行费安排用于政府还贷公路养护的支出。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（2）政府还贷公路管理（项）：反映车辆通行费安排用于政府还贷公路运行和管理工作的支出。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13、住房保障支出（类）住房改革支出（款）：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（1）住房公积金（项）：反映行政事业单位按人力资源和社会保障部、财政部规定的基本工资和津贴补贴以及规定比例为职工缴纳的住房公积金。</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14、 “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tabs>
          <w:tab w:val="center" w:pos="4475"/>
        </w:tabs>
        <w:snapToGrid w:val="0"/>
        <w:spacing w:line="600" w:lineRule="exact"/>
        <w:rPr>
          <w:rFonts w:hint="eastAsia" w:ascii="仿宋_GB2312"/>
          <w:szCs w:val="32"/>
        </w:rPr>
      </w:pPr>
      <w:r>
        <w:rPr>
          <w:rFonts w:hint="eastAsia" w:ascii="仿宋" w:hAnsi="仿宋" w:eastAsia="仿宋"/>
          <w:szCs w:val="32"/>
        </w:rPr>
        <w:t xml:space="preserve">    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center" w:pos="4475"/>
        </w:tabs>
        <w:snapToGrid w:val="0"/>
        <w:spacing w:line="600" w:lineRule="exact"/>
        <w:rPr>
          <w:rFonts w:hint="eastAsia" w:ascii="仿宋_GB2312"/>
          <w:szCs w:val="32"/>
        </w:rPr>
      </w:pP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第四部分：自治区道路运输发展中心2023年部门预算报表</w:t>
      </w:r>
    </w:p>
    <w:p>
      <w:pPr>
        <w:pStyle w:val="7"/>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一、部门收支总体情况表（预算公开01表）</w:t>
      </w:r>
    </w:p>
    <w:p>
      <w:pPr>
        <w:pStyle w:val="7"/>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二、部门收入总体情况表（预算公开02表）</w:t>
      </w:r>
    </w:p>
    <w:p>
      <w:pPr>
        <w:pStyle w:val="7"/>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三、部门支出总体情况表（预算公开03表）</w:t>
      </w:r>
    </w:p>
    <w:p>
      <w:pPr>
        <w:pStyle w:val="7"/>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四、财政拨款收支总体情况表（预算公开04表）</w:t>
      </w:r>
    </w:p>
    <w:p>
      <w:pPr>
        <w:pStyle w:val="7"/>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五、一般公共预算支出情况表（预算公开05表）</w:t>
      </w:r>
    </w:p>
    <w:p>
      <w:pPr>
        <w:pStyle w:val="7"/>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六、一般公共预算基本支出情况表（预算公开06表）</w:t>
      </w:r>
    </w:p>
    <w:p>
      <w:pPr>
        <w:pStyle w:val="7"/>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七、财政拨款“三公”经费、会议费和培训费支出情况表（预算公开07表）</w:t>
      </w:r>
    </w:p>
    <w:p>
      <w:pPr>
        <w:pStyle w:val="7"/>
        <w:adjustRightInd w:val="0"/>
        <w:snapToGrid w:val="0"/>
        <w:spacing w:line="560" w:lineRule="exact"/>
        <w:ind w:firstLine="640" w:firstLineChars="200"/>
        <w:rPr>
          <w:rFonts w:ascii="仿宋" w:hAnsi="仿宋" w:eastAsia="仿宋"/>
          <w:bCs/>
          <w:szCs w:val="32"/>
        </w:rPr>
      </w:pPr>
      <w:r>
        <w:rPr>
          <w:rFonts w:hint="eastAsia" w:ascii="仿宋" w:hAnsi="仿宋" w:eastAsia="仿宋"/>
          <w:bCs/>
          <w:szCs w:val="32"/>
        </w:rPr>
        <w:t>八、政府性基金预算支出表（预算公开08表）</w:t>
      </w:r>
    </w:p>
    <w:p>
      <w:pPr>
        <w:pStyle w:val="7"/>
        <w:adjustRightInd w:val="0"/>
        <w:snapToGrid w:val="0"/>
        <w:spacing w:line="560" w:lineRule="exact"/>
        <w:ind w:firstLine="640" w:firstLineChars="200"/>
        <w:rPr>
          <w:rFonts w:ascii="仿宋" w:hAnsi="仿宋" w:eastAsia="仿宋"/>
          <w:bCs/>
          <w:szCs w:val="32"/>
        </w:rPr>
      </w:pPr>
      <w:r>
        <w:rPr>
          <w:rFonts w:hint="eastAsia" w:ascii="仿宋" w:hAnsi="仿宋" w:eastAsia="仿宋"/>
          <w:bCs/>
          <w:szCs w:val="32"/>
        </w:rPr>
        <w:t>九、国有资本经营预算支出情况表（预算公开09表）</w:t>
      </w:r>
    </w:p>
    <w:p>
      <w:pPr>
        <w:pStyle w:val="7"/>
        <w:adjustRightInd w:val="0"/>
        <w:snapToGrid w:val="0"/>
        <w:spacing w:line="560" w:lineRule="exact"/>
        <w:ind w:firstLine="640" w:firstLineChars="200"/>
        <w:rPr>
          <w:rFonts w:ascii="仿宋" w:hAnsi="仿宋" w:eastAsia="仿宋"/>
          <w:bCs/>
          <w:szCs w:val="32"/>
        </w:rPr>
      </w:pPr>
      <w:r>
        <w:rPr>
          <w:rFonts w:hint="eastAsia" w:ascii="仿宋" w:hAnsi="仿宋" w:eastAsia="仿宋"/>
          <w:bCs/>
          <w:szCs w:val="32"/>
        </w:rPr>
        <w:t>十、2023年度预算项目绩效目标公开表（预算公开10表）</w:t>
      </w:r>
    </w:p>
    <w:p>
      <w:pPr>
        <w:tabs>
          <w:tab w:val="center" w:pos="4475"/>
        </w:tabs>
        <w:spacing w:line="600" w:lineRule="exact"/>
        <w:ind w:firstLine="645"/>
        <w:rPr>
          <w:rFonts w:hint="eastAsia" w:ascii="仿宋" w:hAnsi="仿宋" w:eastAsia="仿宋"/>
          <w:szCs w:val="32"/>
        </w:rPr>
      </w:pPr>
      <w:r>
        <w:rPr>
          <w:rFonts w:hint="eastAsia" w:ascii="仿宋" w:hAnsi="仿宋" w:eastAsia="仿宋"/>
          <w:bCs/>
          <w:szCs w:val="32"/>
        </w:rPr>
        <w:t>上述报表详见附件2。</w:t>
      </w:r>
    </w:p>
    <w:p>
      <w:pPr>
        <w:pStyle w:val="7"/>
        <w:adjustRightInd w:val="0"/>
        <w:snapToGrid w:val="0"/>
        <w:spacing w:line="560" w:lineRule="exact"/>
        <w:ind w:firstLine="640" w:firstLineChars="200"/>
        <w:rPr>
          <w:rFonts w:ascii="仿宋" w:hAnsi="仿宋" w:eastAsia="仿宋"/>
          <w:bCs/>
          <w:szCs w:val="32"/>
        </w:rPr>
      </w:pPr>
    </w:p>
    <w:sectPr>
      <w:footerReference r:id="rId3" w:type="default"/>
      <w:footerReference r:id="rId4" w:type="even"/>
      <w:pgSz w:w="11906" w:h="16838"/>
      <w:pgMar w:top="1440" w:right="1440" w:bottom="1440" w:left="1440" w:header="851" w:footer="992" w:gutter="0"/>
      <w:pgNumType w:fmt="numberInDash"/>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Fonts w:eastAsia="宋体"/>
        <w:sz w:val="28"/>
      </w:rPr>
    </w:pPr>
    <w:r>
      <w:rPr>
        <w:rStyle w:val="15"/>
        <w:rFonts w:eastAsia="宋体"/>
        <w:sz w:val="28"/>
      </w:rPr>
      <w:fldChar w:fldCharType="begin"/>
    </w:r>
    <w:r>
      <w:rPr>
        <w:rStyle w:val="15"/>
        <w:rFonts w:eastAsia="宋体"/>
        <w:sz w:val="28"/>
      </w:rPr>
      <w:instrText xml:space="preserve">PAGE  </w:instrText>
    </w:r>
    <w:r>
      <w:rPr>
        <w:rStyle w:val="15"/>
        <w:rFonts w:eastAsia="宋体"/>
        <w:sz w:val="28"/>
      </w:rPr>
      <w:fldChar w:fldCharType="separate"/>
    </w:r>
    <w:r>
      <w:rPr>
        <w:rStyle w:val="15"/>
        <w:rFonts w:eastAsia="宋体"/>
        <w:sz w:val="28"/>
        <w:lang/>
      </w:rPr>
      <w:t>- 7 -</w:t>
    </w:r>
    <w:r>
      <w:rPr>
        <w:rStyle w:val="15"/>
        <w:rFonts w:eastAsia="宋体"/>
        <w:sz w:val="2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5"/>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OWY5ZmM1YjZhMGEzZDVkZTJkMWRmNzhkNWU4OTIifQ=="/>
  </w:docVars>
  <w:rsids>
    <w:rsidRoot w:val="00187310"/>
    <w:rsid w:val="00000EE9"/>
    <w:rsid w:val="000060B9"/>
    <w:rsid w:val="00007B0E"/>
    <w:rsid w:val="00007E60"/>
    <w:rsid w:val="00010D80"/>
    <w:rsid w:val="00013FC5"/>
    <w:rsid w:val="000148DA"/>
    <w:rsid w:val="000151F8"/>
    <w:rsid w:val="00015373"/>
    <w:rsid w:val="00015844"/>
    <w:rsid w:val="00015A27"/>
    <w:rsid w:val="00015DB6"/>
    <w:rsid w:val="00016F0A"/>
    <w:rsid w:val="0002203E"/>
    <w:rsid w:val="00022683"/>
    <w:rsid w:val="000264A8"/>
    <w:rsid w:val="0002778C"/>
    <w:rsid w:val="00032004"/>
    <w:rsid w:val="0003234C"/>
    <w:rsid w:val="000333D3"/>
    <w:rsid w:val="00033636"/>
    <w:rsid w:val="00034928"/>
    <w:rsid w:val="000367F9"/>
    <w:rsid w:val="0003703B"/>
    <w:rsid w:val="0003742B"/>
    <w:rsid w:val="000431E0"/>
    <w:rsid w:val="0004320C"/>
    <w:rsid w:val="00044411"/>
    <w:rsid w:val="00047236"/>
    <w:rsid w:val="000514AD"/>
    <w:rsid w:val="00051922"/>
    <w:rsid w:val="00053233"/>
    <w:rsid w:val="00053585"/>
    <w:rsid w:val="000549CE"/>
    <w:rsid w:val="00055554"/>
    <w:rsid w:val="00056171"/>
    <w:rsid w:val="00056F20"/>
    <w:rsid w:val="00057CA7"/>
    <w:rsid w:val="00057D74"/>
    <w:rsid w:val="00064C16"/>
    <w:rsid w:val="00065B65"/>
    <w:rsid w:val="00066E8A"/>
    <w:rsid w:val="0006724F"/>
    <w:rsid w:val="00067DB2"/>
    <w:rsid w:val="00070AED"/>
    <w:rsid w:val="00072F64"/>
    <w:rsid w:val="00073012"/>
    <w:rsid w:val="00075288"/>
    <w:rsid w:val="00076467"/>
    <w:rsid w:val="00082659"/>
    <w:rsid w:val="000860A8"/>
    <w:rsid w:val="00086F58"/>
    <w:rsid w:val="0008706C"/>
    <w:rsid w:val="000875C7"/>
    <w:rsid w:val="0009096A"/>
    <w:rsid w:val="00090BDD"/>
    <w:rsid w:val="00091713"/>
    <w:rsid w:val="00091CA3"/>
    <w:rsid w:val="0009451B"/>
    <w:rsid w:val="00097627"/>
    <w:rsid w:val="000A08BA"/>
    <w:rsid w:val="000A0E14"/>
    <w:rsid w:val="000A3A62"/>
    <w:rsid w:val="000A6FB7"/>
    <w:rsid w:val="000B21C1"/>
    <w:rsid w:val="000B6857"/>
    <w:rsid w:val="000C124D"/>
    <w:rsid w:val="000C140F"/>
    <w:rsid w:val="000C21E0"/>
    <w:rsid w:val="000C4124"/>
    <w:rsid w:val="000C5FCD"/>
    <w:rsid w:val="000C7322"/>
    <w:rsid w:val="000C740A"/>
    <w:rsid w:val="000C7748"/>
    <w:rsid w:val="000D17FA"/>
    <w:rsid w:val="000D268D"/>
    <w:rsid w:val="000D5A0E"/>
    <w:rsid w:val="000D7186"/>
    <w:rsid w:val="000D71B2"/>
    <w:rsid w:val="000E1684"/>
    <w:rsid w:val="000E225F"/>
    <w:rsid w:val="000E7921"/>
    <w:rsid w:val="000F47FC"/>
    <w:rsid w:val="00101350"/>
    <w:rsid w:val="00101B18"/>
    <w:rsid w:val="001050DB"/>
    <w:rsid w:val="00106218"/>
    <w:rsid w:val="00106F58"/>
    <w:rsid w:val="0011108B"/>
    <w:rsid w:val="00114358"/>
    <w:rsid w:val="00114A70"/>
    <w:rsid w:val="001201FD"/>
    <w:rsid w:val="001208E4"/>
    <w:rsid w:val="00121C44"/>
    <w:rsid w:val="00130211"/>
    <w:rsid w:val="001306E3"/>
    <w:rsid w:val="00130CA3"/>
    <w:rsid w:val="0013117E"/>
    <w:rsid w:val="0013209C"/>
    <w:rsid w:val="00132DE7"/>
    <w:rsid w:val="00133D08"/>
    <w:rsid w:val="00134527"/>
    <w:rsid w:val="00134936"/>
    <w:rsid w:val="00136E45"/>
    <w:rsid w:val="00140594"/>
    <w:rsid w:val="00140B5D"/>
    <w:rsid w:val="0014199E"/>
    <w:rsid w:val="00143EF5"/>
    <w:rsid w:val="00143FB2"/>
    <w:rsid w:val="00146AE4"/>
    <w:rsid w:val="00147BD1"/>
    <w:rsid w:val="00150008"/>
    <w:rsid w:val="001509EA"/>
    <w:rsid w:val="00155B29"/>
    <w:rsid w:val="00155C1F"/>
    <w:rsid w:val="00156031"/>
    <w:rsid w:val="00161994"/>
    <w:rsid w:val="00163B9A"/>
    <w:rsid w:val="00165235"/>
    <w:rsid w:val="00167133"/>
    <w:rsid w:val="00167A26"/>
    <w:rsid w:val="00170136"/>
    <w:rsid w:val="00174035"/>
    <w:rsid w:val="001741FE"/>
    <w:rsid w:val="00175D3D"/>
    <w:rsid w:val="001808B0"/>
    <w:rsid w:val="00183E7D"/>
    <w:rsid w:val="00184BA7"/>
    <w:rsid w:val="00185309"/>
    <w:rsid w:val="001869CE"/>
    <w:rsid w:val="00187310"/>
    <w:rsid w:val="00192C28"/>
    <w:rsid w:val="00192F2C"/>
    <w:rsid w:val="00195476"/>
    <w:rsid w:val="00196600"/>
    <w:rsid w:val="001970FF"/>
    <w:rsid w:val="001A13D2"/>
    <w:rsid w:val="001A1C27"/>
    <w:rsid w:val="001A2D5D"/>
    <w:rsid w:val="001A4888"/>
    <w:rsid w:val="001A520D"/>
    <w:rsid w:val="001A5275"/>
    <w:rsid w:val="001A5E7E"/>
    <w:rsid w:val="001A68DA"/>
    <w:rsid w:val="001B07AF"/>
    <w:rsid w:val="001B2CB4"/>
    <w:rsid w:val="001B398E"/>
    <w:rsid w:val="001B6EE7"/>
    <w:rsid w:val="001B7263"/>
    <w:rsid w:val="001C1620"/>
    <w:rsid w:val="001C1B0E"/>
    <w:rsid w:val="001C530B"/>
    <w:rsid w:val="001C545B"/>
    <w:rsid w:val="001C5D93"/>
    <w:rsid w:val="001C7B74"/>
    <w:rsid w:val="001D024F"/>
    <w:rsid w:val="001D0E83"/>
    <w:rsid w:val="001D20F9"/>
    <w:rsid w:val="001D5472"/>
    <w:rsid w:val="001E2E98"/>
    <w:rsid w:val="001E44AD"/>
    <w:rsid w:val="001E4FBD"/>
    <w:rsid w:val="001E524D"/>
    <w:rsid w:val="001E6974"/>
    <w:rsid w:val="001F10EE"/>
    <w:rsid w:val="001F15C5"/>
    <w:rsid w:val="001F2E8F"/>
    <w:rsid w:val="001F328F"/>
    <w:rsid w:val="001F3D52"/>
    <w:rsid w:val="001F6F1D"/>
    <w:rsid w:val="0020115D"/>
    <w:rsid w:val="00201FAC"/>
    <w:rsid w:val="0020218D"/>
    <w:rsid w:val="00203200"/>
    <w:rsid w:val="00204386"/>
    <w:rsid w:val="00205036"/>
    <w:rsid w:val="002077E2"/>
    <w:rsid w:val="00207CEC"/>
    <w:rsid w:val="00211820"/>
    <w:rsid w:val="00212363"/>
    <w:rsid w:val="00216663"/>
    <w:rsid w:val="00217700"/>
    <w:rsid w:val="0021777E"/>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4B35"/>
    <w:rsid w:val="002576F9"/>
    <w:rsid w:val="00260107"/>
    <w:rsid w:val="00261B8D"/>
    <w:rsid w:val="00261D31"/>
    <w:rsid w:val="00263BDD"/>
    <w:rsid w:val="00263FEA"/>
    <w:rsid w:val="00264C3D"/>
    <w:rsid w:val="00265C0D"/>
    <w:rsid w:val="002664E0"/>
    <w:rsid w:val="00266514"/>
    <w:rsid w:val="00266640"/>
    <w:rsid w:val="0026673E"/>
    <w:rsid w:val="00266839"/>
    <w:rsid w:val="00267FC2"/>
    <w:rsid w:val="002706BD"/>
    <w:rsid w:val="00272D82"/>
    <w:rsid w:val="00273673"/>
    <w:rsid w:val="00273AAB"/>
    <w:rsid w:val="0027442A"/>
    <w:rsid w:val="00274BF1"/>
    <w:rsid w:val="002757E5"/>
    <w:rsid w:val="00275E2D"/>
    <w:rsid w:val="00276F13"/>
    <w:rsid w:val="00276FE4"/>
    <w:rsid w:val="00277C96"/>
    <w:rsid w:val="002864D3"/>
    <w:rsid w:val="00287008"/>
    <w:rsid w:val="002879DF"/>
    <w:rsid w:val="0029213B"/>
    <w:rsid w:val="00292964"/>
    <w:rsid w:val="00294176"/>
    <w:rsid w:val="0029483C"/>
    <w:rsid w:val="00294957"/>
    <w:rsid w:val="0029514A"/>
    <w:rsid w:val="002965F8"/>
    <w:rsid w:val="002969A4"/>
    <w:rsid w:val="002A2B5D"/>
    <w:rsid w:val="002A435F"/>
    <w:rsid w:val="002A57C2"/>
    <w:rsid w:val="002A7ED2"/>
    <w:rsid w:val="002B05EA"/>
    <w:rsid w:val="002B1411"/>
    <w:rsid w:val="002B2EA5"/>
    <w:rsid w:val="002B5902"/>
    <w:rsid w:val="002B5B95"/>
    <w:rsid w:val="002B6832"/>
    <w:rsid w:val="002C0654"/>
    <w:rsid w:val="002C260B"/>
    <w:rsid w:val="002C2EA9"/>
    <w:rsid w:val="002C4C06"/>
    <w:rsid w:val="002D1D93"/>
    <w:rsid w:val="002D1F3F"/>
    <w:rsid w:val="002D53A3"/>
    <w:rsid w:val="002D6195"/>
    <w:rsid w:val="002D6D45"/>
    <w:rsid w:val="002E125A"/>
    <w:rsid w:val="002E15BD"/>
    <w:rsid w:val="002E188C"/>
    <w:rsid w:val="002E21EE"/>
    <w:rsid w:val="002E332C"/>
    <w:rsid w:val="002E39BC"/>
    <w:rsid w:val="002E44AF"/>
    <w:rsid w:val="002E4A10"/>
    <w:rsid w:val="002E52E3"/>
    <w:rsid w:val="002E547C"/>
    <w:rsid w:val="002E5613"/>
    <w:rsid w:val="002E5BD8"/>
    <w:rsid w:val="002E65D1"/>
    <w:rsid w:val="002F05B1"/>
    <w:rsid w:val="002F49F8"/>
    <w:rsid w:val="002F5297"/>
    <w:rsid w:val="002F69CE"/>
    <w:rsid w:val="003005A3"/>
    <w:rsid w:val="00304269"/>
    <w:rsid w:val="00305E4B"/>
    <w:rsid w:val="00307AD8"/>
    <w:rsid w:val="00310422"/>
    <w:rsid w:val="003113A6"/>
    <w:rsid w:val="003127EB"/>
    <w:rsid w:val="00313806"/>
    <w:rsid w:val="003149C9"/>
    <w:rsid w:val="00314B8F"/>
    <w:rsid w:val="00315F5F"/>
    <w:rsid w:val="00316279"/>
    <w:rsid w:val="00316E01"/>
    <w:rsid w:val="003206D6"/>
    <w:rsid w:val="0032137E"/>
    <w:rsid w:val="0032186E"/>
    <w:rsid w:val="003225F9"/>
    <w:rsid w:val="00324991"/>
    <w:rsid w:val="00325526"/>
    <w:rsid w:val="00326E2C"/>
    <w:rsid w:val="003273DA"/>
    <w:rsid w:val="00327A01"/>
    <w:rsid w:val="0033087A"/>
    <w:rsid w:val="00330AFF"/>
    <w:rsid w:val="00330CC0"/>
    <w:rsid w:val="003322C1"/>
    <w:rsid w:val="0033249D"/>
    <w:rsid w:val="00332AA8"/>
    <w:rsid w:val="00335DD3"/>
    <w:rsid w:val="00337F81"/>
    <w:rsid w:val="00342E99"/>
    <w:rsid w:val="00343405"/>
    <w:rsid w:val="00347034"/>
    <w:rsid w:val="00351661"/>
    <w:rsid w:val="00352FEC"/>
    <w:rsid w:val="00353F27"/>
    <w:rsid w:val="0035550F"/>
    <w:rsid w:val="00356E4B"/>
    <w:rsid w:val="0035772E"/>
    <w:rsid w:val="00360125"/>
    <w:rsid w:val="00361026"/>
    <w:rsid w:val="003616E6"/>
    <w:rsid w:val="00361A65"/>
    <w:rsid w:val="00361CC1"/>
    <w:rsid w:val="0036451B"/>
    <w:rsid w:val="00376279"/>
    <w:rsid w:val="00376E5F"/>
    <w:rsid w:val="00383B70"/>
    <w:rsid w:val="00386A28"/>
    <w:rsid w:val="00392ED7"/>
    <w:rsid w:val="0039575A"/>
    <w:rsid w:val="00396736"/>
    <w:rsid w:val="0039769D"/>
    <w:rsid w:val="003A0370"/>
    <w:rsid w:val="003A0425"/>
    <w:rsid w:val="003A0FA8"/>
    <w:rsid w:val="003A2A3D"/>
    <w:rsid w:val="003A4FCD"/>
    <w:rsid w:val="003A68C8"/>
    <w:rsid w:val="003A7AC4"/>
    <w:rsid w:val="003B1D70"/>
    <w:rsid w:val="003B2CDC"/>
    <w:rsid w:val="003B4C9D"/>
    <w:rsid w:val="003B4D31"/>
    <w:rsid w:val="003B5A21"/>
    <w:rsid w:val="003B7568"/>
    <w:rsid w:val="003C3413"/>
    <w:rsid w:val="003C5741"/>
    <w:rsid w:val="003C6EDC"/>
    <w:rsid w:val="003D3514"/>
    <w:rsid w:val="003D4EE4"/>
    <w:rsid w:val="003D71A3"/>
    <w:rsid w:val="003E1840"/>
    <w:rsid w:val="003E23A9"/>
    <w:rsid w:val="003E3511"/>
    <w:rsid w:val="003E61DB"/>
    <w:rsid w:val="003F37DB"/>
    <w:rsid w:val="003F3FE1"/>
    <w:rsid w:val="004026FF"/>
    <w:rsid w:val="00403918"/>
    <w:rsid w:val="00404197"/>
    <w:rsid w:val="00406E73"/>
    <w:rsid w:val="00407DBD"/>
    <w:rsid w:val="00413B84"/>
    <w:rsid w:val="00416D29"/>
    <w:rsid w:val="004206EE"/>
    <w:rsid w:val="004215AD"/>
    <w:rsid w:val="004219B6"/>
    <w:rsid w:val="0042680A"/>
    <w:rsid w:val="0042726F"/>
    <w:rsid w:val="00427D28"/>
    <w:rsid w:val="00430060"/>
    <w:rsid w:val="00431DA7"/>
    <w:rsid w:val="00433776"/>
    <w:rsid w:val="00435BC8"/>
    <w:rsid w:val="0043683B"/>
    <w:rsid w:val="004376CB"/>
    <w:rsid w:val="00437F2A"/>
    <w:rsid w:val="00441D96"/>
    <w:rsid w:val="0044201B"/>
    <w:rsid w:val="00444F7D"/>
    <w:rsid w:val="0044570B"/>
    <w:rsid w:val="004460E7"/>
    <w:rsid w:val="004506F7"/>
    <w:rsid w:val="00450725"/>
    <w:rsid w:val="00451A5D"/>
    <w:rsid w:val="00452E0C"/>
    <w:rsid w:val="00455F54"/>
    <w:rsid w:val="0045649A"/>
    <w:rsid w:val="00456AF8"/>
    <w:rsid w:val="00461C08"/>
    <w:rsid w:val="00461E21"/>
    <w:rsid w:val="00461FC4"/>
    <w:rsid w:val="0046237E"/>
    <w:rsid w:val="0046348B"/>
    <w:rsid w:val="004637D9"/>
    <w:rsid w:val="00470269"/>
    <w:rsid w:val="00472546"/>
    <w:rsid w:val="00472BDD"/>
    <w:rsid w:val="004735E9"/>
    <w:rsid w:val="00480708"/>
    <w:rsid w:val="00483AFF"/>
    <w:rsid w:val="004859ED"/>
    <w:rsid w:val="00485FB6"/>
    <w:rsid w:val="00491ED1"/>
    <w:rsid w:val="00492052"/>
    <w:rsid w:val="00494941"/>
    <w:rsid w:val="00495645"/>
    <w:rsid w:val="0049762C"/>
    <w:rsid w:val="00497B73"/>
    <w:rsid w:val="004A39D5"/>
    <w:rsid w:val="004A5425"/>
    <w:rsid w:val="004A6DA6"/>
    <w:rsid w:val="004A74B3"/>
    <w:rsid w:val="004A7834"/>
    <w:rsid w:val="004B1D29"/>
    <w:rsid w:val="004B2571"/>
    <w:rsid w:val="004B2910"/>
    <w:rsid w:val="004B2F43"/>
    <w:rsid w:val="004B3925"/>
    <w:rsid w:val="004B6415"/>
    <w:rsid w:val="004C02AB"/>
    <w:rsid w:val="004C189F"/>
    <w:rsid w:val="004C1BAA"/>
    <w:rsid w:val="004C1D46"/>
    <w:rsid w:val="004C2E28"/>
    <w:rsid w:val="004C5205"/>
    <w:rsid w:val="004C643A"/>
    <w:rsid w:val="004C7613"/>
    <w:rsid w:val="004D03F4"/>
    <w:rsid w:val="004D03F8"/>
    <w:rsid w:val="004D0FCF"/>
    <w:rsid w:val="004D2C3E"/>
    <w:rsid w:val="004D2D98"/>
    <w:rsid w:val="004D4578"/>
    <w:rsid w:val="004D5610"/>
    <w:rsid w:val="004D6E3F"/>
    <w:rsid w:val="004E2773"/>
    <w:rsid w:val="004E2FA4"/>
    <w:rsid w:val="004E4363"/>
    <w:rsid w:val="004E51E5"/>
    <w:rsid w:val="004F21A8"/>
    <w:rsid w:val="004F2CEC"/>
    <w:rsid w:val="004F50E9"/>
    <w:rsid w:val="004F6386"/>
    <w:rsid w:val="004F6E34"/>
    <w:rsid w:val="004F74D3"/>
    <w:rsid w:val="005012A6"/>
    <w:rsid w:val="005027E2"/>
    <w:rsid w:val="00502928"/>
    <w:rsid w:val="0050379E"/>
    <w:rsid w:val="00504A6E"/>
    <w:rsid w:val="0050595F"/>
    <w:rsid w:val="0050645D"/>
    <w:rsid w:val="00511F7E"/>
    <w:rsid w:val="00517CEF"/>
    <w:rsid w:val="0052040A"/>
    <w:rsid w:val="0052052B"/>
    <w:rsid w:val="00524866"/>
    <w:rsid w:val="00525C3C"/>
    <w:rsid w:val="0052631F"/>
    <w:rsid w:val="0053063F"/>
    <w:rsid w:val="005351FB"/>
    <w:rsid w:val="005407E2"/>
    <w:rsid w:val="00541D4F"/>
    <w:rsid w:val="00542268"/>
    <w:rsid w:val="00542E67"/>
    <w:rsid w:val="00543FFB"/>
    <w:rsid w:val="00544138"/>
    <w:rsid w:val="005442BA"/>
    <w:rsid w:val="0054450A"/>
    <w:rsid w:val="0054511F"/>
    <w:rsid w:val="0054735F"/>
    <w:rsid w:val="005514D6"/>
    <w:rsid w:val="00552308"/>
    <w:rsid w:val="00552466"/>
    <w:rsid w:val="00552CE9"/>
    <w:rsid w:val="00553DD4"/>
    <w:rsid w:val="00556F51"/>
    <w:rsid w:val="005626F8"/>
    <w:rsid w:val="0056536E"/>
    <w:rsid w:val="005661FC"/>
    <w:rsid w:val="0057144F"/>
    <w:rsid w:val="00571DD5"/>
    <w:rsid w:val="00573C5E"/>
    <w:rsid w:val="00574525"/>
    <w:rsid w:val="00574B09"/>
    <w:rsid w:val="00575B8B"/>
    <w:rsid w:val="00580764"/>
    <w:rsid w:val="0058159D"/>
    <w:rsid w:val="00584216"/>
    <w:rsid w:val="005856DD"/>
    <w:rsid w:val="00591654"/>
    <w:rsid w:val="00593441"/>
    <w:rsid w:val="00594A3A"/>
    <w:rsid w:val="00594D37"/>
    <w:rsid w:val="0059576C"/>
    <w:rsid w:val="005A0A21"/>
    <w:rsid w:val="005A1F48"/>
    <w:rsid w:val="005A348C"/>
    <w:rsid w:val="005A6DAF"/>
    <w:rsid w:val="005A7300"/>
    <w:rsid w:val="005A770F"/>
    <w:rsid w:val="005B674D"/>
    <w:rsid w:val="005B7504"/>
    <w:rsid w:val="005B7623"/>
    <w:rsid w:val="005B78C0"/>
    <w:rsid w:val="005C3D2A"/>
    <w:rsid w:val="005C493B"/>
    <w:rsid w:val="005C52C8"/>
    <w:rsid w:val="005D045C"/>
    <w:rsid w:val="005D16AC"/>
    <w:rsid w:val="005D2E98"/>
    <w:rsid w:val="005D4BBC"/>
    <w:rsid w:val="005D55EE"/>
    <w:rsid w:val="005E10C8"/>
    <w:rsid w:val="005E164C"/>
    <w:rsid w:val="005E2940"/>
    <w:rsid w:val="005E480F"/>
    <w:rsid w:val="005E4B73"/>
    <w:rsid w:val="005E528E"/>
    <w:rsid w:val="005E6C0E"/>
    <w:rsid w:val="005F3B3A"/>
    <w:rsid w:val="005F563D"/>
    <w:rsid w:val="005F5715"/>
    <w:rsid w:val="005F7A08"/>
    <w:rsid w:val="005F7F6E"/>
    <w:rsid w:val="00600463"/>
    <w:rsid w:val="00600D7B"/>
    <w:rsid w:val="00603346"/>
    <w:rsid w:val="006034CA"/>
    <w:rsid w:val="00603F41"/>
    <w:rsid w:val="00605995"/>
    <w:rsid w:val="006069EC"/>
    <w:rsid w:val="00607080"/>
    <w:rsid w:val="0061134B"/>
    <w:rsid w:val="0061205B"/>
    <w:rsid w:val="00612E7E"/>
    <w:rsid w:val="006164EA"/>
    <w:rsid w:val="00617364"/>
    <w:rsid w:val="00620323"/>
    <w:rsid w:val="00625B6B"/>
    <w:rsid w:val="006278FD"/>
    <w:rsid w:val="0063115F"/>
    <w:rsid w:val="00631D5F"/>
    <w:rsid w:val="0063241E"/>
    <w:rsid w:val="0063305C"/>
    <w:rsid w:val="006372C8"/>
    <w:rsid w:val="00637571"/>
    <w:rsid w:val="00637A73"/>
    <w:rsid w:val="0064095F"/>
    <w:rsid w:val="006464FA"/>
    <w:rsid w:val="00646A3F"/>
    <w:rsid w:val="00646D78"/>
    <w:rsid w:val="00650E9D"/>
    <w:rsid w:val="006628F0"/>
    <w:rsid w:val="006632E2"/>
    <w:rsid w:val="00664CFE"/>
    <w:rsid w:val="0066545E"/>
    <w:rsid w:val="00665E00"/>
    <w:rsid w:val="0066753C"/>
    <w:rsid w:val="006723A9"/>
    <w:rsid w:val="00673644"/>
    <w:rsid w:val="0067368A"/>
    <w:rsid w:val="006739E3"/>
    <w:rsid w:val="00675582"/>
    <w:rsid w:val="006764C0"/>
    <w:rsid w:val="0067655F"/>
    <w:rsid w:val="0068082F"/>
    <w:rsid w:val="00683088"/>
    <w:rsid w:val="006851CA"/>
    <w:rsid w:val="00687920"/>
    <w:rsid w:val="006879B1"/>
    <w:rsid w:val="00692C5D"/>
    <w:rsid w:val="00692D38"/>
    <w:rsid w:val="00693DFF"/>
    <w:rsid w:val="00694F33"/>
    <w:rsid w:val="00695A4D"/>
    <w:rsid w:val="00696ADB"/>
    <w:rsid w:val="00697085"/>
    <w:rsid w:val="006976AE"/>
    <w:rsid w:val="006A0F3A"/>
    <w:rsid w:val="006A1817"/>
    <w:rsid w:val="006A22D3"/>
    <w:rsid w:val="006A4359"/>
    <w:rsid w:val="006A646E"/>
    <w:rsid w:val="006B02DE"/>
    <w:rsid w:val="006B1C84"/>
    <w:rsid w:val="006B1E05"/>
    <w:rsid w:val="006B25A8"/>
    <w:rsid w:val="006B5795"/>
    <w:rsid w:val="006C04C2"/>
    <w:rsid w:val="006C5581"/>
    <w:rsid w:val="006C603C"/>
    <w:rsid w:val="006C6C4C"/>
    <w:rsid w:val="006D0351"/>
    <w:rsid w:val="006D0934"/>
    <w:rsid w:val="006D2100"/>
    <w:rsid w:val="006D753D"/>
    <w:rsid w:val="006E1AA6"/>
    <w:rsid w:val="006E5A4E"/>
    <w:rsid w:val="006E5B08"/>
    <w:rsid w:val="006E7D56"/>
    <w:rsid w:val="006F10EE"/>
    <w:rsid w:val="006F3051"/>
    <w:rsid w:val="006F3052"/>
    <w:rsid w:val="006F4D1A"/>
    <w:rsid w:val="006F5E1F"/>
    <w:rsid w:val="007003C2"/>
    <w:rsid w:val="00702FF3"/>
    <w:rsid w:val="007049CA"/>
    <w:rsid w:val="007055CF"/>
    <w:rsid w:val="00713796"/>
    <w:rsid w:val="00715E45"/>
    <w:rsid w:val="00717AF3"/>
    <w:rsid w:val="00720A55"/>
    <w:rsid w:val="007215B5"/>
    <w:rsid w:val="00721CA1"/>
    <w:rsid w:val="00721ED1"/>
    <w:rsid w:val="00723F8A"/>
    <w:rsid w:val="0072530A"/>
    <w:rsid w:val="00726F46"/>
    <w:rsid w:val="007320C2"/>
    <w:rsid w:val="00732910"/>
    <w:rsid w:val="00735EC2"/>
    <w:rsid w:val="00737BFE"/>
    <w:rsid w:val="0074015F"/>
    <w:rsid w:val="00741AD2"/>
    <w:rsid w:val="007440FD"/>
    <w:rsid w:val="00750313"/>
    <w:rsid w:val="00751D29"/>
    <w:rsid w:val="00754102"/>
    <w:rsid w:val="00754465"/>
    <w:rsid w:val="00754A58"/>
    <w:rsid w:val="00756A64"/>
    <w:rsid w:val="00756FD2"/>
    <w:rsid w:val="00760E6D"/>
    <w:rsid w:val="007623EB"/>
    <w:rsid w:val="00762CA2"/>
    <w:rsid w:val="007651F4"/>
    <w:rsid w:val="007661D7"/>
    <w:rsid w:val="0076624C"/>
    <w:rsid w:val="0076789A"/>
    <w:rsid w:val="00770CE1"/>
    <w:rsid w:val="00771B1B"/>
    <w:rsid w:val="00771FF4"/>
    <w:rsid w:val="00772169"/>
    <w:rsid w:val="00773612"/>
    <w:rsid w:val="007736FA"/>
    <w:rsid w:val="00774813"/>
    <w:rsid w:val="00775555"/>
    <w:rsid w:val="0077697B"/>
    <w:rsid w:val="00781069"/>
    <w:rsid w:val="00781884"/>
    <w:rsid w:val="007824F6"/>
    <w:rsid w:val="0078300C"/>
    <w:rsid w:val="0078547B"/>
    <w:rsid w:val="00785707"/>
    <w:rsid w:val="00786022"/>
    <w:rsid w:val="00794F21"/>
    <w:rsid w:val="00796B48"/>
    <w:rsid w:val="007A0E05"/>
    <w:rsid w:val="007A0F76"/>
    <w:rsid w:val="007A1FBB"/>
    <w:rsid w:val="007A2E6F"/>
    <w:rsid w:val="007A3E70"/>
    <w:rsid w:val="007A792C"/>
    <w:rsid w:val="007A7CC8"/>
    <w:rsid w:val="007B3250"/>
    <w:rsid w:val="007B5B90"/>
    <w:rsid w:val="007B6A30"/>
    <w:rsid w:val="007B7DDD"/>
    <w:rsid w:val="007C0AD5"/>
    <w:rsid w:val="007C0D06"/>
    <w:rsid w:val="007C1309"/>
    <w:rsid w:val="007C3E74"/>
    <w:rsid w:val="007C5287"/>
    <w:rsid w:val="007C57FF"/>
    <w:rsid w:val="007D0B5A"/>
    <w:rsid w:val="007D0FCD"/>
    <w:rsid w:val="007D1478"/>
    <w:rsid w:val="007D2E46"/>
    <w:rsid w:val="007D3797"/>
    <w:rsid w:val="007D46B6"/>
    <w:rsid w:val="007D540D"/>
    <w:rsid w:val="007D5D2B"/>
    <w:rsid w:val="007D5EC0"/>
    <w:rsid w:val="007D7A78"/>
    <w:rsid w:val="007E418A"/>
    <w:rsid w:val="007E41C6"/>
    <w:rsid w:val="007E4D05"/>
    <w:rsid w:val="007F065C"/>
    <w:rsid w:val="007F370F"/>
    <w:rsid w:val="007F74DC"/>
    <w:rsid w:val="007F7591"/>
    <w:rsid w:val="00800848"/>
    <w:rsid w:val="00801B0F"/>
    <w:rsid w:val="00804D4D"/>
    <w:rsid w:val="00804D92"/>
    <w:rsid w:val="00812633"/>
    <w:rsid w:val="008127A1"/>
    <w:rsid w:val="00812CDE"/>
    <w:rsid w:val="00816031"/>
    <w:rsid w:val="00816170"/>
    <w:rsid w:val="00817F50"/>
    <w:rsid w:val="008201F0"/>
    <w:rsid w:val="00820491"/>
    <w:rsid w:val="00822C8B"/>
    <w:rsid w:val="00824D7A"/>
    <w:rsid w:val="00826A4E"/>
    <w:rsid w:val="00826F98"/>
    <w:rsid w:val="0082747B"/>
    <w:rsid w:val="00830B1F"/>
    <w:rsid w:val="00830F36"/>
    <w:rsid w:val="00832A28"/>
    <w:rsid w:val="0083451B"/>
    <w:rsid w:val="00835925"/>
    <w:rsid w:val="008373B9"/>
    <w:rsid w:val="0084027F"/>
    <w:rsid w:val="0084226A"/>
    <w:rsid w:val="00845B2E"/>
    <w:rsid w:val="008467D1"/>
    <w:rsid w:val="00846B02"/>
    <w:rsid w:val="0085052A"/>
    <w:rsid w:val="008505D1"/>
    <w:rsid w:val="00851D97"/>
    <w:rsid w:val="00851ED3"/>
    <w:rsid w:val="00853369"/>
    <w:rsid w:val="008542ED"/>
    <w:rsid w:val="00854F25"/>
    <w:rsid w:val="00855E28"/>
    <w:rsid w:val="00857935"/>
    <w:rsid w:val="00860CC8"/>
    <w:rsid w:val="008631E9"/>
    <w:rsid w:val="00864002"/>
    <w:rsid w:val="00864B30"/>
    <w:rsid w:val="0086552B"/>
    <w:rsid w:val="00866216"/>
    <w:rsid w:val="008667D3"/>
    <w:rsid w:val="00872478"/>
    <w:rsid w:val="00876D94"/>
    <w:rsid w:val="00877DB0"/>
    <w:rsid w:val="0088228B"/>
    <w:rsid w:val="0088264A"/>
    <w:rsid w:val="00886FAD"/>
    <w:rsid w:val="008875C6"/>
    <w:rsid w:val="0089088E"/>
    <w:rsid w:val="00890939"/>
    <w:rsid w:val="00894696"/>
    <w:rsid w:val="008948E1"/>
    <w:rsid w:val="00896C77"/>
    <w:rsid w:val="0089741C"/>
    <w:rsid w:val="008A582D"/>
    <w:rsid w:val="008B4114"/>
    <w:rsid w:val="008B4958"/>
    <w:rsid w:val="008B4A4A"/>
    <w:rsid w:val="008B70FC"/>
    <w:rsid w:val="008B7D63"/>
    <w:rsid w:val="008C31BC"/>
    <w:rsid w:val="008C330B"/>
    <w:rsid w:val="008C337A"/>
    <w:rsid w:val="008C4401"/>
    <w:rsid w:val="008C6CB4"/>
    <w:rsid w:val="008D016B"/>
    <w:rsid w:val="008D22D3"/>
    <w:rsid w:val="008D2DEA"/>
    <w:rsid w:val="008D2EC3"/>
    <w:rsid w:val="008D3E10"/>
    <w:rsid w:val="008D49ED"/>
    <w:rsid w:val="008D4D2F"/>
    <w:rsid w:val="008D4D40"/>
    <w:rsid w:val="008D6E6F"/>
    <w:rsid w:val="008E196B"/>
    <w:rsid w:val="008E2412"/>
    <w:rsid w:val="008E4E2A"/>
    <w:rsid w:val="008E53B7"/>
    <w:rsid w:val="008E64FD"/>
    <w:rsid w:val="008E72EE"/>
    <w:rsid w:val="008E736E"/>
    <w:rsid w:val="008F0CC3"/>
    <w:rsid w:val="008F184F"/>
    <w:rsid w:val="008F2AD2"/>
    <w:rsid w:val="008F2C46"/>
    <w:rsid w:val="008F4902"/>
    <w:rsid w:val="008F5C51"/>
    <w:rsid w:val="0090042C"/>
    <w:rsid w:val="0090046A"/>
    <w:rsid w:val="00907738"/>
    <w:rsid w:val="00910E16"/>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E3A"/>
    <w:rsid w:val="00942FF6"/>
    <w:rsid w:val="009444C0"/>
    <w:rsid w:val="00950A29"/>
    <w:rsid w:val="0095156E"/>
    <w:rsid w:val="00953B32"/>
    <w:rsid w:val="009569D2"/>
    <w:rsid w:val="00962FF7"/>
    <w:rsid w:val="00971168"/>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0346"/>
    <w:rsid w:val="009A242E"/>
    <w:rsid w:val="009A755D"/>
    <w:rsid w:val="009B525B"/>
    <w:rsid w:val="009B6AF2"/>
    <w:rsid w:val="009B6B8F"/>
    <w:rsid w:val="009B6C96"/>
    <w:rsid w:val="009B7884"/>
    <w:rsid w:val="009C00D2"/>
    <w:rsid w:val="009C0316"/>
    <w:rsid w:val="009C2FBB"/>
    <w:rsid w:val="009C4D4E"/>
    <w:rsid w:val="009C623A"/>
    <w:rsid w:val="009D0D17"/>
    <w:rsid w:val="009D268D"/>
    <w:rsid w:val="009D274C"/>
    <w:rsid w:val="009D4928"/>
    <w:rsid w:val="009D53C7"/>
    <w:rsid w:val="009D5C89"/>
    <w:rsid w:val="009D66EB"/>
    <w:rsid w:val="009D6EDA"/>
    <w:rsid w:val="009D6F56"/>
    <w:rsid w:val="009E0412"/>
    <w:rsid w:val="009E04EC"/>
    <w:rsid w:val="009E1100"/>
    <w:rsid w:val="009E12D7"/>
    <w:rsid w:val="009E40F9"/>
    <w:rsid w:val="009E552D"/>
    <w:rsid w:val="009E6B08"/>
    <w:rsid w:val="009E6BBC"/>
    <w:rsid w:val="009E7BD3"/>
    <w:rsid w:val="009F2BB0"/>
    <w:rsid w:val="009F409F"/>
    <w:rsid w:val="009F4BA6"/>
    <w:rsid w:val="009F64CC"/>
    <w:rsid w:val="009F7AD0"/>
    <w:rsid w:val="00A0182F"/>
    <w:rsid w:val="00A056AA"/>
    <w:rsid w:val="00A05B23"/>
    <w:rsid w:val="00A06E5C"/>
    <w:rsid w:val="00A07550"/>
    <w:rsid w:val="00A1377F"/>
    <w:rsid w:val="00A13AD5"/>
    <w:rsid w:val="00A20CEF"/>
    <w:rsid w:val="00A216A2"/>
    <w:rsid w:val="00A21F2B"/>
    <w:rsid w:val="00A2287F"/>
    <w:rsid w:val="00A24C20"/>
    <w:rsid w:val="00A2603E"/>
    <w:rsid w:val="00A26500"/>
    <w:rsid w:val="00A26614"/>
    <w:rsid w:val="00A27EE6"/>
    <w:rsid w:val="00A30CC2"/>
    <w:rsid w:val="00A33A9D"/>
    <w:rsid w:val="00A345DF"/>
    <w:rsid w:val="00A35A71"/>
    <w:rsid w:val="00A40AC6"/>
    <w:rsid w:val="00A40CF1"/>
    <w:rsid w:val="00A411B1"/>
    <w:rsid w:val="00A417FA"/>
    <w:rsid w:val="00A421E6"/>
    <w:rsid w:val="00A42358"/>
    <w:rsid w:val="00A42EA6"/>
    <w:rsid w:val="00A451D8"/>
    <w:rsid w:val="00A4700D"/>
    <w:rsid w:val="00A47822"/>
    <w:rsid w:val="00A51B91"/>
    <w:rsid w:val="00A52487"/>
    <w:rsid w:val="00A538A8"/>
    <w:rsid w:val="00A55EDE"/>
    <w:rsid w:val="00A61E50"/>
    <w:rsid w:val="00A62F3F"/>
    <w:rsid w:val="00A63FD7"/>
    <w:rsid w:val="00A640DB"/>
    <w:rsid w:val="00A641E1"/>
    <w:rsid w:val="00A647C5"/>
    <w:rsid w:val="00A65967"/>
    <w:rsid w:val="00A659DF"/>
    <w:rsid w:val="00A661F5"/>
    <w:rsid w:val="00A72A0D"/>
    <w:rsid w:val="00A73939"/>
    <w:rsid w:val="00A73F2C"/>
    <w:rsid w:val="00A740C7"/>
    <w:rsid w:val="00A80A25"/>
    <w:rsid w:val="00A82545"/>
    <w:rsid w:val="00A8597C"/>
    <w:rsid w:val="00A878DA"/>
    <w:rsid w:val="00A91F87"/>
    <w:rsid w:val="00A96C75"/>
    <w:rsid w:val="00A97E5A"/>
    <w:rsid w:val="00AA0CD4"/>
    <w:rsid w:val="00AA429E"/>
    <w:rsid w:val="00AA5838"/>
    <w:rsid w:val="00AB171A"/>
    <w:rsid w:val="00AB2E58"/>
    <w:rsid w:val="00AB3BC4"/>
    <w:rsid w:val="00AB48C0"/>
    <w:rsid w:val="00AB6A8E"/>
    <w:rsid w:val="00AC4041"/>
    <w:rsid w:val="00AC4D43"/>
    <w:rsid w:val="00AC5875"/>
    <w:rsid w:val="00AC5F0E"/>
    <w:rsid w:val="00AC60FC"/>
    <w:rsid w:val="00AC6449"/>
    <w:rsid w:val="00AC74AE"/>
    <w:rsid w:val="00AD0304"/>
    <w:rsid w:val="00AD119A"/>
    <w:rsid w:val="00AD1363"/>
    <w:rsid w:val="00AD17C1"/>
    <w:rsid w:val="00AD27CA"/>
    <w:rsid w:val="00AE2936"/>
    <w:rsid w:val="00AE41EC"/>
    <w:rsid w:val="00AE46C5"/>
    <w:rsid w:val="00AF1C2D"/>
    <w:rsid w:val="00AF3FD8"/>
    <w:rsid w:val="00AF62C3"/>
    <w:rsid w:val="00AF708A"/>
    <w:rsid w:val="00AF790C"/>
    <w:rsid w:val="00B012AB"/>
    <w:rsid w:val="00B039BE"/>
    <w:rsid w:val="00B05BAA"/>
    <w:rsid w:val="00B0732A"/>
    <w:rsid w:val="00B07AC1"/>
    <w:rsid w:val="00B10229"/>
    <w:rsid w:val="00B11C8C"/>
    <w:rsid w:val="00B1254D"/>
    <w:rsid w:val="00B15505"/>
    <w:rsid w:val="00B1669B"/>
    <w:rsid w:val="00B16F5A"/>
    <w:rsid w:val="00B22FDF"/>
    <w:rsid w:val="00B235D7"/>
    <w:rsid w:val="00B24160"/>
    <w:rsid w:val="00B25287"/>
    <w:rsid w:val="00B2640B"/>
    <w:rsid w:val="00B30BE2"/>
    <w:rsid w:val="00B318D7"/>
    <w:rsid w:val="00B31B0D"/>
    <w:rsid w:val="00B3439F"/>
    <w:rsid w:val="00B34D5F"/>
    <w:rsid w:val="00B3574D"/>
    <w:rsid w:val="00B36888"/>
    <w:rsid w:val="00B36E4A"/>
    <w:rsid w:val="00B37B25"/>
    <w:rsid w:val="00B439C1"/>
    <w:rsid w:val="00B43C59"/>
    <w:rsid w:val="00B44E12"/>
    <w:rsid w:val="00B46033"/>
    <w:rsid w:val="00B461F3"/>
    <w:rsid w:val="00B46861"/>
    <w:rsid w:val="00B5004B"/>
    <w:rsid w:val="00B50888"/>
    <w:rsid w:val="00B50FDE"/>
    <w:rsid w:val="00B51BE0"/>
    <w:rsid w:val="00B52066"/>
    <w:rsid w:val="00B5390F"/>
    <w:rsid w:val="00B54CA1"/>
    <w:rsid w:val="00B553E7"/>
    <w:rsid w:val="00B56378"/>
    <w:rsid w:val="00B578AD"/>
    <w:rsid w:val="00B6067C"/>
    <w:rsid w:val="00B60A49"/>
    <w:rsid w:val="00B61375"/>
    <w:rsid w:val="00B61822"/>
    <w:rsid w:val="00B618B2"/>
    <w:rsid w:val="00B65446"/>
    <w:rsid w:val="00B7014D"/>
    <w:rsid w:val="00B71E1F"/>
    <w:rsid w:val="00B8089B"/>
    <w:rsid w:val="00B82371"/>
    <w:rsid w:val="00B83096"/>
    <w:rsid w:val="00B85772"/>
    <w:rsid w:val="00B85CFC"/>
    <w:rsid w:val="00B90831"/>
    <w:rsid w:val="00B90B0E"/>
    <w:rsid w:val="00B90F1E"/>
    <w:rsid w:val="00B92A20"/>
    <w:rsid w:val="00B93B41"/>
    <w:rsid w:val="00B94B86"/>
    <w:rsid w:val="00B95A59"/>
    <w:rsid w:val="00BA4848"/>
    <w:rsid w:val="00BA4D01"/>
    <w:rsid w:val="00BA67E2"/>
    <w:rsid w:val="00BA779B"/>
    <w:rsid w:val="00BB0744"/>
    <w:rsid w:val="00BB1E90"/>
    <w:rsid w:val="00BB71DF"/>
    <w:rsid w:val="00BB74A1"/>
    <w:rsid w:val="00BC7BC7"/>
    <w:rsid w:val="00BD2BD8"/>
    <w:rsid w:val="00BD4074"/>
    <w:rsid w:val="00BD4B32"/>
    <w:rsid w:val="00BD7EA1"/>
    <w:rsid w:val="00BE0021"/>
    <w:rsid w:val="00BE04DE"/>
    <w:rsid w:val="00BF55F8"/>
    <w:rsid w:val="00C015B0"/>
    <w:rsid w:val="00C06206"/>
    <w:rsid w:val="00C100C2"/>
    <w:rsid w:val="00C14C14"/>
    <w:rsid w:val="00C14C3E"/>
    <w:rsid w:val="00C14D9A"/>
    <w:rsid w:val="00C17503"/>
    <w:rsid w:val="00C21277"/>
    <w:rsid w:val="00C2241F"/>
    <w:rsid w:val="00C23DC3"/>
    <w:rsid w:val="00C24F7E"/>
    <w:rsid w:val="00C30424"/>
    <w:rsid w:val="00C30BAA"/>
    <w:rsid w:val="00C353AB"/>
    <w:rsid w:val="00C35469"/>
    <w:rsid w:val="00C40663"/>
    <w:rsid w:val="00C42250"/>
    <w:rsid w:val="00C44A96"/>
    <w:rsid w:val="00C44BF0"/>
    <w:rsid w:val="00C4597C"/>
    <w:rsid w:val="00C46C98"/>
    <w:rsid w:val="00C47BA8"/>
    <w:rsid w:val="00C51837"/>
    <w:rsid w:val="00C5257C"/>
    <w:rsid w:val="00C541B2"/>
    <w:rsid w:val="00C5436E"/>
    <w:rsid w:val="00C545CB"/>
    <w:rsid w:val="00C55A60"/>
    <w:rsid w:val="00C5718E"/>
    <w:rsid w:val="00C63CD4"/>
    <w:rsid w:val="00C66E5B"/>
    <w:rsid w:val="00C717C8"/>
    <w:rsid w:val="00C726E0"/>
    <w:rsid w:val="00C72AA9"/>
    <w:rsid w:val="00C73B5D"/>
    <w:rsid w:val="00C77890"/>
    <w:rsid w:val="00C80B38"/>
    <w:rsid w:val="00C815FD"/>
    <w:rsid w:val="00C81E99"/>
    <w:rsid w:val="00C850C6"/>
    <w:rsid w:val="00C872AA"/>
    <w:rsid w:val="00C8760C"/>
    <w:rsid w:val="00C90F4C"/>
    <w:rsid w:val="00C915F6"/>
    <w:rsid w:val="00C92B5A"/>
    <w:rsid w:val="00C945A4"/>
    <w:rsid w:val="00C9621C"/>
    <w:rsid w:val="00C975BD"/>
    <w:rsid w:val="00CA2B9B"/>
    <w:rsid w:val="00CA32A2"/>
    <w:rsid w:val="00CA3D4B"/>
    <w:rsid w:val="00CA4619"/>
    <w:rsid w:val="00CA5002"/>
    <w:rsid w:val="00CA55FB"/>
    <w:rsid w:val="00CA6433"/>
    <w:rsid w:val="00CA7428"/>
    <w:rsid w:val="00CA7D85"/>
    <w:rsid w:val="00CB6FCE"/>
    <w:rsid w:val="00CC071F"/>
    <w:rsid w:val="00CC248C"/>
    <w:rsid w:val="00CC3CE8"/>
    <w:rsid w:val="00CC47E5"/>
    <w:rsid w:val="00CC572E"/>
    <w:rsid w:val="00CC7067"/>
    <w:rsid w:val="00CC7545"/>
    <w:rsid w:val="00CC7716"/>
    <w:rsid w:val="00CC7C20"/>
    <w:rsid w:val="00CD0D87"/>
    <w:rsid w:val="00CD198F"/>
    <w:rsid w:val="00CD75C4"/>
    <w:rsid w:val="00CE5F07"/>
    <w:rsid w:val="00CE6567"/>
    <w:rsid w:val="00CE7B0E"/>
    <w:rsid w:val="00CF081B"/>
    <w:rsid w:val="00CF40C6"/>
    <w:rsid w:val="00CF6F47"/>
    <w:rsid w:val="00D00003"/>
    <w:rsid w:val="00D004E1"/>
    <w:rsid w:val="00D01420"/>
    <w:rsid w:val="00D03234"/>
    <w:rsid w:val="00D03C3C"/>
    <w:rsid w:val="00D070DD"/>
    <w:rsid w:val="00D07211"/>
    <w:rsid w:val="00D07666"/>
    <w:rsid w:val="00D10342"/>
    <w:rsid w:val="00D15E81"/>
    <w:rsid w:val="00D22343"/>
    <w:rsid w:val="00D2304A"/>
    <w:rsid w:val="00D23BC7"/>
    <w:rsid w:val="00D264DC"/>
    <w:rsid w:val="00D26A91"/>
    <w:rsid w:val="00D3008C"/>
    <w:rsid w:val="00D30C37"/>
    <w:rsid w:val="00D34ABF"/>
    <w:rsid w:val="00D34D4D"/>
    <w:rsid w:val="00D41241"/>
    <w:rsid w:val="00D414E7"/>
    <w:rsid w:val="00D4297F"/>
    <w:rsid w:val="00D542DE"/>
    <w:rsid w:val="00D5751A"/>
    <w:rsid w:val="00D62F6C"/>
    <w:rsid w:val="00D63BB6"/>
    <w:rsid w:val="00D63D98"/>
    <w:rsid w:val="00D64010"/>
    <w:rsid w:val="00D64B75"/>
    <w:rsid w:val="00D64BC4"/>
    <w:rsid w:val="00D67DBA"/>
    <w:rsid w:val="00D67EFC"/>
    <w:rsid w:val="00D7020F"/>
    <w:rsid w:val="00D7079B"/>
    <w:rsid w:val="00D708DC"/>
    <w:rsid w:val="00D72ED1"/>
    <w:rsid w:val="00D734A5"/>
    <w:rsid w:val="00D73536"/>
    <w:rsid w:val="00D7404F"/>
    <w:rsid w:val="00D74E5D"/>
    <w:rsid w:val="00D7647F"/>
    <w:rsid w:val="00D76B7B"/>
    <w:rsid w:val="00D76C9E"/>
    <w:rsid w:val="00D83031"/>
    <w:rsid w:val="00D83742"/>
    <w:rsid w:val="00D8564F"/>
    <w:rsid w:val="00D8683D"/>
    <w:rsid w:val="00D90672"/>
    <w:rsid w:val="00D91D3E"/>
    <w:rsid w:val="00D94D51"/>
    <w:rsid w:val="00D95ADF"/>
    <w:rsid w:val="00D97AFF"/>
    <w:rsid w:val="00DA36B3"/>
    <w:rsid w:val="00DA53CD"/>
    <w:rsid w:val="00DA650D"/>
    <w:rsid w:val="00DA6862"/>
    <w:rsid w:val="00DA68A3"/>
    <w:rsid w:val="00DA74E7"/>
    <w:rsid w:val="00DB0260"/>
    <w:rsid w:val="00DB0661"/>
    <w:rsid w:val="00DB1941"/>
    <w:rsid w:val="00DB2328"/>
    <w:rsid w:val="00DC0151"/>
    <w:rsid w:val="00DC1659"/>
    <w:rsid w:val="00DC1B91"/>
    <w:rsid w:val="00DC277B"/>
    <w:rsid w:val="00DC29D9"/>
    <w:rsid w:val="00DC3B52"/>
    <w:rsid w:val="00DC4E92"/>
    <w:rsid w:val="00DC59BF"/>
    <w:rsid w:val="00DC6383"/>
    <w:rsid w:val="00DD0006"/>
    <w:rsid w:val="00DD0DE9"/>
    <w:rsid w:val="00DD1E90"/>
    <w:rsid w:val="00DE19D5"/>
    <w:rsid w:val="00DE3714"/>
    <w:rsid w:val="00DE3A38"/>
    <w:rsid w:val="00DE3AEA"/>
    <w:rsid w:val="00DE521E"/>
    <w:rsid w:val="00DF25DA"/>
    <w:rsid w:val="00DF2BA7"/>
    <w:rsid w:val="00DF40EE"/>
    <w:rsid w:val="00DF5754"/>
    <w:rsid w:val="00E00A80"/>
    <w:rsid w:val="00E00C16"/>
    <w:rsid w:val="00E01238"/>
    <w:rsid w:val="00E019BC"/>
    <w:rsid w:val="00E044D7"/>
    <w:rsid w:val="00E04E47"/>
    <w:rsid w:val="00E07652"/>
    <w:rsid w:val="00E07759"/>
    <w:rsid w:val="00E101A8"/>
    <w:rsid w:val="00E10A6E"/>
    <w:rsid w:val="00E1216D"/>
    <w:rsid w:val="00E126E3"/>
    <w:rsid w:val="00E128A6"/>
    <w:rsid w:val="00E14C12"/>
    <w:rsid w:val="00E15E25"/>
    <w:rsid w:val="00E17E66"/>
    <w:rsid w:val="00E21EB5"/>
    <w:rsid w:val="00E21EEA"/>
    <w:rsid w:val="00E23568"/>
    <w:rsid w:val="00E24C44"/>
    <w:rsid w:val="00E2521E"/>
    <w:rsid w:val="00E35147"/>
    <w:rsid w:val="00E3537E"/>
    <w:rsid w:val="00E36209"/>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A34"/>
    <w:rsid w:val="00E6280A"/>
    <w:rsid w:val="00E63DFD"/>
    <w:rsid w:val="00E65264"/>
    <w:rsid w:val="00E662D1"/>
    <w:rsid w:val="00E7053A"/>
    <w:rsid w:val="00E71274"/>
    <w:rsid w:val="00E7165D"/>
    <w:rsid w:val="00E732B9"/>
    <w:rsid w:val="00E762F1"/>
    <w:rsid w:val="00E8069F"/>
    <w:rsid w:val="00E806D7"/>
    <w:rsid w:val="00E80744"/>
    <w:rsid w:val="00E811FD"/>
    <w:rsid w:val="00E821C5"/>
    <w:rsid w:val="00E83C77"/>
    <w:rsid w:val="00E854AE"/>
    <w:rsid w:val="00E877FB"/>
    <w:rsid w:val="00E8784B"/>
    <w:rsid w:val="00E922B0"/>
    <w:rsid w:val="00E92779"/>
    <w:rsid w:val="00EA0C87"/>
    <w:rsid w:val="00EA41B0"/>
    <w:rsid w:val="00EA4D60"/>
    <w:rsid w:val="00EB1C64"/>
    <w:rsid w:val="00EB5ABE"/>
    <w:rsid w:val="00EB6E4F"/>
    <w:rsid w:val="00EB7BDD"/>
    <w:rsid w:val="00EC2EB8"/>
    <w:rsid w:val="00EC688F"/>
    <w:rsid w:val="00EC70BA"/>
    <w:rsid w:val="00EC7873"/>
    <w:rsid w:val="00EC7A83"/>
    <w:rsid w:val="00ED1D3C"/>
    <w:rsid w:val="00ED25AB"/>
    <w:rsid w:val="00ED2B47"/>
    <w:rsid w:val="00ED56E6"/>
    <w:rsid w:val="00ED5F0E"/>
    <w:rsid w:val="00ED60B0"/>
    <w:rsid w:val="00ED7C0D"/>
    <w:rsid w:val="00EE08C7"/>
    <w:rsid w:val="00EE1CAF"/>
    <w:rsid w:val="00EE3729"/>
    <w:rsid w:val="00EE4D9D"/>
    <w:rsid w:val="00EE5B75"/>
    <w:rsid w:val="00EE6B90"/>
    <w:rsid w:val="00EE7FA2"/>
    <w:rsid w:val="00EF1E3F"/>
    <w:rsid w:val="00EF205B"/>
    <w:rsid w:val="00EF39B4"/>
    <w:rsid w:val="00EF61F3"/>
    <w:rsid w:val="00EF6382"/>
    <w:rsid w:val="00EF709C"/>
    <w:rsid w:val="00EF72A2"/>
    <w:rsid w:val="00F001F2"/>
    <w:rsid w:val="00F02CAE"/>
    <w:rsid w:val="00F05DB1"/>
    <w:rsid w:val="00F06214"/>
    <w:rsid w:val="00F06E05"/>
    <w:rsid w:val="00F079E3"/>
    <w:rsid w:val="00F10F99"/>
    <w:rsid w:val="00F137EC"/>
    <w:rsid w:val="00F147BD"/>
    <w:rsid w:val="00F15A79"/>
    <w:rsid w:val="00F1631F"/>
    <w:rsid w:val="00F23C0D"/>
    <w:rsid w:val="00F32745"/>
    <w:rsid w:val="00F3365A"/>
    <w:rsid w:val="00F405EC"/>
    <w:rsid w:val="00F42E64"/>
    <w:rsid w:val="00F44976"/>
    <w:rsid w:val="00F459BA"/>
    <w:rsid w:val="00F4790B"/>
    <w:rsid w:val="00F513F0"/>
    <w:rsid w:val="00F52A95"/>
    <w:rsid w:val="00F5446A"/>
    <w:rsid w:val="00F56134"/>
    <w:rsid w:val="00F57AD0"/>
    <w:rsid w:val="00F6132D"/>
    <w:rsid w:val="00F631EB"/>
    <w:rsid w:val="00F64A3A"/>
    <w:rsid w:val="00F65372"/>
    <w:rsid w:val="00F65AA3"/>
    <w:rsid w:val="00F67E36"/>
    <w:rsid w:val="00F701AC"/>
    <w:rsid w:val="00F70C28"/>
    <w:rsid w:val="00F7406A"/>
    <w:rsid w:val="00F74117"/>
    <w:rsid w:val="00F74AAA"/>
    <w:rsid w:val="00F77245"/>
    <w:rsid w:val="00F80A54"/>
    <w:rsid w:val="00F81821"/>
    <w:rsid w:val="00F834E7"/>
    <w:rsid w:val="00F85CEF"/>
    <w:rsid w:val="00F86804"/>
    <w:rsid w:val="00F9354E"/>
    <w:rsid w:val="00F93CBD"/>
    <w:rsid w:val="00F95079"/>
    <w:rsid w:val="00F95E43"/>
    <w:rsid w:val="00F9714C"/>
    <w:rsid w:val="00F97E1B"/>
    <w:rsid w:val="00FA0F15"/>
    <w:rsid w:val="00FA1085"/>
    <w:rsid w:val="00FA6FE4"/>
    <w:rsid w:val="00FA7BC8"/>
    <w:rsid w:val="00FA7F31"/>
    <w:rsid w:val="00FB1B1C"/>
    <w:rsid w:val="00FB2121"/>
    <w:rsid w:val="00FB2D0A"/>
    <w:rsid w:val="00FB2FA8"/>
    <w:rsid w:val="00FB3189"/>
    <w:rsid w:val="00FB41A6"/>
    <w:rsid w:val="00FB484E"/>
    <w:rsid w:val="00FB6C0A"/>
    <w:rsid w:val="00FB712A"/>
    <w:rsid w:val="00FB7572"/>
    <w:rsid w:val="00FB7683"/>
    <w:rsid w:val="00FC1812"/>
    <w:rsid w:val="00FC1C12"/>
    <w:rsid w:val="00FC5503"/>
    <w:rsid w:val="00FC6BD7"/>
    <w:rsid w:val="00FD232E"/>
    <w:rsid w:val="00FD323F"/>
    <w:rsid w:val="00FD44AC"/>
    <w:rsid w:val="00FD5015"/>
    <w:rsid w:val="00FD78C3"/>
    <w:rsid w:val="00FE1582"/>
    <w:rsid w:val="00FE1CE4"/>
    <w:rsid w:val="00FE3387"/>
    <w:rsid w:val="00FE3F1E"/>
    <w:rsid w:val="00FE4535"/>
    <w:rsid w:val="00FE4CAF"/>
    <w:rsid w:val="00FE7385"/>
    <w:rsid w:val="00FF2784"/>
    <w:rsid w:val="00FF77A3"/>
    <w:rsid w:val="0E197DBB"/>
    <w:rsid w:val="34EE34FC"/>
    <w:rsid w:val="48947967"/>
    <w:rsid w:val="6C416C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4">
    <w:name w:val="heading 4"/>
    <w:basedOn w:val="1"/>
    <w:next w:val="1"/>
    <w:link w:val="18"/>
    <w:unhideWhenUsed/>
    <w:qFormat/>
    <w:uiPriority w:val="0"/>
    <w:pPr>
      <w:keepNext/>
      <w:keepLines/>
      <w:autoSpaceDE w:val="0"/>
      <w:autoSpaceDN w:val="0"/>
      <w:adjustRightInd w:val="0"/>
      <w:spacing w:before="280" w:after="290" w:line="376" w:lineRule="auto"/>
      <w:jc w:val="left"/>
      <w:outlineLvl w:val="3"/>
    </w:pPr>
    <w:rPr>
      <w:rFonts w:ascii="Cambria" w:hAnsi="Cambria" w:eastAsia="宋体" w:cs="Times New Roman"/>
      <w:b/>
      <w:bCs/>
      <w:kern w:val="0"/>
      <w:sz w:val="28"/>
      <w:szCs w:val="28"/>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5">
    <w:name w:val="Document Map"/>
    <w:basedOn w:val="1"/>
    <w:link w:val="19"/>
    <w:uiPriority w:val="0"/>
    <w:pPr>
      <w:shd w:val="clear" w:color="auto" w:fill="000080"/>
    </w:pPr>
    <w:rPr>
      <w:rFonts w:eastAsia="宋体"/>
      <w:sz w:val="21"/>
    </w:rPr>
  </w:style>
  <w:style w:type="paragraph" w:styleId="6">
    <w:name w:val="Body Text"/>
    <w:basedOn w:val="1"/>
    <w:link w:val="20"/>
    <w:qFormat/>
    <w:uiPriority w:val="1"/>
    <w:pPr>
      <w:autoSpaceDE w:val="0"/>
      <w:autoSpaceDN w:val="0"/>
      <w:adjustRightInd w:val="0"/>
      <w:spacing w:before="173"/>
      <w:ind w:left="120"/>
      <w:jc w:val="left"/>
    </w:pPr>
    <w:rPr>
      <w:rFonts w:ascii="仿宋_GB2312" w:cs="仿宋_GB2312"/>
      <w:kern w:val="0"/>
      <w:sz w:val="28"/>
      <w:szCs w:val="28"/>
    </w:rPr>
  </w:style>
  <w:style w:type="paragraph" w:styleId="7">
    <w:name w:val="Plain Text"/>
    <w:basedOn w:val="1"/>
    <w:link w:val="21"/>
    <w:uiPriority w:val="0"/>
    <w:rPr>
      <w:rFonts w:ascii="宋体" w:hAnsi="Courier New"/>
      <w:szCs w:val="21"/>
    </w:rPr>
  </w:style>
  <w:style w:type="paragraph" w:styleId="8">
    <w:name w:val="Date"/>
    <w:basedOn w:val="1"/>
    <w:next w:val="1"/>
    <w:uiPriority w:val="0"/>
    <w:pPr>
      <w:ind w:left="100" w:leftChars="2500"/>
    </w:p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link w:val="22"/>
    <w:uiPriority w:val="99"/>
    <w:pPr>
      <w:pBdr>
        <w:bottom w:val="single" w:color="auto" w:sz="6" w:space="1"/>
      </w:pBdr>
      <w:tabs>
        <w:tab w:val="center" w:pos="4153"/>
        <w:tab w:val="right" w:pos="8306"/>
      </w:tabs>
      <w:snapToGrid w:val="0"/>
      <w:jc w:val="center"/>
    </w:pPr>
    <w:rPr>
      <w:sz w:val="18"/>
      <w:szCs w:val="18"/>
    </w:rPr>
  </w:style>
  <w:style w:type="character" w:styleId="14">
    <w:name w:val="Strong"/>
    <w:qFormat/>
    <w:uiPriority w:val="0"/>
    <w:rPr>
      <w:b/>
      <w:bCs/>
    </w:rPr>
  </w:style>
  <w:style w:type="character" w:styleId="15">
    <w:name w:val="page number"/>
    <w:basedOn w:val="13"/>
    <w:uiPriority w:val="0"/>
  </w:style>
  <w:style w:type="character" w:customStyle="1" w:styleId="16">
    <w:name w:val="标题 1 Char"/>
    <w:link w:val="2"/>
    <w:uiPriority w:val="0"/>
    <w:rPr>
      <w:rFonts w:eastAsia="仿宋_GB2312"/>
      <w:b/>
      <w:bCs/>
      <w:kern w:val="44"/>
      <w:sz w:val="44"/>
      <w:szCs w:val="44"/>
    </w:rPr>
  </w:style>
  <w:style w:type="character" w:customStyle="1" w:styleId="17">
    <w:name w:val="标题 2 Char"/>
    <w:link w:val="3"/>
    <w:uiPriority w:val="0"/>
    <w:rPr>
      <w:rFonts w:ascii="Cambria" w:hAnsi="Cambria" w:eastAsia="宋体" w:cs="Times New Roman"/>
      <w:b/>
      <w:bCs/>
      <w:kern w:val="2"/>
      <w:sz w:val="32"/>
      <w:szCs w:val="32"/>
    </w:rPr>
  </w:style>
  <w:style w:type="character" w:customStyle="1" w:styleId="18">
    <w:name w:val="标题 4 Char"/>
    <w:link w:val="4"/>
    <w:semiHidden/>
    <w:uiPriority w:val="0"/>
    <w:rPr>
      <w:rFonts w:ascii="Cambria" w:hAnsi="Cambria" w:eastAsia="宋体" w:cs="Times New Roman"/>
      <w:b/>
      <w:bCs/>
      <w:sz w:val="28"/>
      <w:szCs w:val="28"/>
    </w:rPr>
  </w:style>
  <w:style w:type="character" w:customStyle="1" w:styleId="19">
    <w:name w:val="文档结构图 Char"/>
    <w:link w:val="5"/>
    <w:uiPriority w:val="0"/>
    <w:rPr>
      <w:kern w:val="2"/>
      <w:sz w:val="21"/>
      <w:szCs w:val="24"/>
      <w:shd w:val="clear" w:color="auto" w:fill="000080"/>
    </w:rPr>
  </w:style>
  <w:style w:type="character" w:customStyle="1" w:styleId="20">
    <w:name w:val="正文文本 Char"/>
    <w:link w:val="6"/>
    <w:uiPriority w:val="1"/>
    <w:rPr>
      <w:rFonts w:ascii="仿宋_GB2312" w:eastAsia="仿宋_GB2312" w:cs="仿宋_GB2312"/>
      <w:sz w:val="28"/>
      <w:szCs w:val="28"/>
    </w:rPr>
  </w:style>
  <w:style w:type="character" w:customStyle="1" w:styleId="21">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link w:val="7"/>
    <w:uiPriority w:val="0"/>
    <w:rPr>
      <w:rFonts w:ascii="宋体" w:hAnsi="Courier New" w:eastAsia="仿宋_GB2312" w:cs="Courier New"/>
      <w:kern w:val="2"/>
      <w:sz w:val="32"/>
      <w:szCs w:val="21"/>
    </w:rPr>
  </w:style>
  <w:style w:type="character" w:customStyle="1" w:styleId="22">
    <w:name w:val="页眉 Char"/>
    <w:link w:val="11"/>
    <w:uiPriority w:val="99"/>
    <w:rPr>
      <w:rFonts w:eastAsia="仿宋_GB2312"/>
      <w:kern w:val="2"/>
      <w:sz w:val="18"/>
      <w:szCs w:val="18"/>
    </w:rPr>
  </w:style>
  <w:style w:type="paragraph" w:customStyle="1" w:styleId="23">
    <w:name w:val="Char Char Char Char Char Char Char"/>
    <w:basedOn w:val="1"/>
    <w:uiPriority w:val="0"/>
    <w:rPr>
      <w:szCs w:val="21"/>
    </w:rPr>
  </w:style>
  <w:style w:type="character" w:customStyle="1" w:styleId="24">
    <w:name w:val="NormalCharacter"/>
    <w:semiHidden/>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1170</Words>
  <Characters>6671</Characters>
  <Lines>55</Lines>
  <Paragraphs>15</Paragraphs>
  <TotalTime>0</TotalTime>
  <ScaleCrop>false</ScaleCrop>
  <LinksUpToDate>false</LinksUpToDate>
  <CharactersWithSpaces>7826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2023-02-14T09:16:00Z</dcterms:created>
  <dc:creator>黄菱</dc:creator>
  <cp:lastModifiedBy>李花</cp:lastModifiedBy>
  <cp:lastPrinted>2022-03-23T09:16:00Z</cp:lastPrinted>
  <dcterms:modified xsi:type="dcterms:W3CDTF">2023-09-21T03:39:16Z</dcterms:modified>
  <dc:title>广西壮族自治区财政厅2014年部门预算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8212426216734002AEB0A2DE2528F584_13</vt:lpwstr>
  </property>
</Properties>
</file>